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0" w:name="_GoBack"/>
      <w:bookmarkEnd w:id="0"/>
    </w:p>
    <w:tbl>
      <w:tblPr>
        <w:tblStyle w:val="13"/>
        <w:tblW w:w="104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D9D9"/>
          </w:tcPr>
          <w:p>
            <w:pPr>
              <w:spacing w:after="60"/>
              <w:ind w:left="372" w:firstLine="0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EMENTA: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p>
            <w:pPr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tl w:val="0"/>
              </w:rPr>
              <w:t>D</w:t>
            </w:r>
            <w:r>
              <w:rPr>
                <w:rFonts w:ascii="Arial Narrow" w:hAnsi="Arial Narrow" w:eastAsia="Arial Narrow" w:cs="Arial Narrow"/>
                <w:rtl w:val="0"/>
              </w:rPr>
              <w:t>efinir a ética e a moral; Analisar os princípios éticos aplicáveis com os diferentes</w:t>
            </w:r>
            <w:r>
              <w:rPr>
                <w:rFonts w:ascii="Arial Narrow" w:hAnsi="Arial Narrow" w:eastAsia="Arial Narrow" w:cs="Arial Narrow"/>
                <w:b/>
                <w:i/>
                <w:rtl w:val="0"/>
              </w:rPr>
              <w:t xml:space="preserve"> stakeholders</w:t>
            </w:r>
            <w:r>
              <w:rPr>
                <w:rFonts w:ascii="Arial Narrow" w:hAnsi="Arial Narrow" w:eastAsia="Arial Narrow" w:cs="Arial Narrow"/>
                <w:rtl w:val="0"/>
              </w:rPr>
              <w:t>, internos e externos à empresa; e Identificar os indicadores de responsabilidade social e empresarial.</w:t>
            </w:r>
          </w:p>
        </w:tc>
      </w:tr>
    </w:tbl>
    <w:p>
      <w:pPr>
        <w:rPr>
          <w:rFonts w:ascii="Arial Narrow" w:hAnsi="Arial Narrow" w:eastAsia="Arial Narrow" w:cs="Arial Narrow"/>
        </w:rPr>
      </w:pPr>
    </w:p>
    <w:tbl>
      <w:tblPr>
        <w:tblStyle w:val="14"/>
        <w:tblW w:w="104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081"/>
        <w:gridCol w:w="1144"/>
        <w:gridCol w:w="500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Conteúdo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Recurso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CH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Visão prévia – Moral e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As teorias e doutrinas éticas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03/03/2021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Visão prévia – Moral e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As teorias e doutrinas éticas 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Visão prévia – Moral e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As teorias e doutrinas éticas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 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2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Questões éticas nos negócios;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Filosofias morais à ética nos negócios.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10/03/2021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Questões éticas nos negócios;</w:t>
            </w:r>
          </w:p>
          <w:p>
            <w:pPr>
              <w:numPr>
                <w:ilvl w:val="0"/>
                <w:numId w:val="3"/>
              </w:numPr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Filosofias morais à ética nos negócios.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Questões éticas nos negócios;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Filosofias morais à ética nos negócios.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3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Responsabilidade Social;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O terceiro setor e o voluntariado. A responsabilidade solidária;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Indicadores de responsabilidade social e empresarial;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17/03/2021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Assistir os vídeos sobre o Instituto Ethos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 xml:space="preserve">Instituto Ethos 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- https://www.youtube.com/watch?v=VGLOEZhr7ds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 xml:space="preserve">Instituto Ethos - 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https://www.youtube.com/watch?v=QMa65oPUia8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;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Responsabilidade Social;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O terceiro setor e o voluntariado. A responsabilidade solidária;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Indicadores de responsabilidade social e empresarial;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4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Modelo estrutural para compreender as tomadas de decisão nas empresas;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 cultura da empresa e a tomada de decisões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Relacionamentos organizacionais e conflitos nas tomadas de decisões éticas;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24/03/2021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Modelo estrutural para compreender as tomadas de decisão nas empresas;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 cultura da empresa e a tomada de decisões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Relacionamentos organizacionais e conflitos nas tomadas de decisões éticas.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Modelo estrutural para compreender as tomadas de decisão nas empresas;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 cultura da empresa e a tomada de decisões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Relacionamentos organizacionais e conflitos nas tomadas de decisões éticas;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5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Dilemas éticos;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a todas as atividades empresariais.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31/03/2021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Dilemas éticos;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a todas as atividades empresariais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Dilemas éticos;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a todas as atividades empresariais;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6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às relações com clientes – Aspectos principais no relacionamento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Propaganda subliminar.</w:t>
            </w:r>
          </w:p>
          <w:p>
            <w:pPr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07/04/2021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às relações com clientes – Aspectos principais no relacionamento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Propaganda subliminar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às relações com clientes – Aspectos principais no relacionamento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Propaganda subliminar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7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spacing w:after="0"/>
              <w:ind w:left="408" w:firstLine="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14/04/2021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8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1º Exercício Escolar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28/04/2021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9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05/05/2021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tabs>
                <w:tab w:val="left" w:pos="408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fornecedores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08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fornecedores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08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fornecedores</w:t>
            </w:r>
          </w:p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color w:val="000000"/>
                <w:sz w:val="20"/>
                <w:szCs w:val="20"/>
                <w:u w:val="no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fldChar w:fldCharType="end"/>
            </w:r>
          </w:p>
          <w:p>
            <w:pPr>
              <w:tabs>
                <w:tab w:val="left" w:pos="408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11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às relações com clientes – Aspectos acessórios no relacionamento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19/05/2021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às relações com clientes – Aspectos acessórios no relacionamento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a concorrência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12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tabs>
                <w:tab w:val="left" w:pos="408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a concorrência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08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26/05/2021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a concorrênciia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08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a concorrência</w:t>
            </w:r>
          </w:p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13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tabs>
                <w:tab w:val="left" w:pos="266"/>
              </w:tabs>
              <w:spacing w:after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266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ao relacionamento com o setor público;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66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02/06/2021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6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ao relacionamento com o setor público;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66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tabs>
                <w:tab w:val="left" w:pos="266"/>
                <w:tab w:val="left" w:pos="720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266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ao relacionamento com o setor público</w:t>
            </w:r>
          </w:p>
          <w:p>
            <w:pPr>
              <w:numPr>
                <w:ilvl w:val="0"/>
                <w:numId w:val="3"/>
              </w:numPr>
              <w:tabs>
                <w:tab w:val="left" w:pos="266"/>
              </w:tabs>
              <w:spacing w:after="0"/>
              <w:ind w:left="408" w:hanging="360"/>
              <w:jc w:val="both"/>
              <w:rPr>
                <w:color w:val="000000"/>
                <w:sz w:val="20"/>
                <w:szCs w:val="20"/>
                <w:u w:val="no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fldChar w:fldCharType="end"/>
            </w:r>
          </w:p>
          <w:p>
            <w:pPr>
              <w:tabs>
                <w:tab w:val="left" w:pos="266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14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 de ética dos administradores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09/06/2021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Código de ética dos administradores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 de ética dos administradores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15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Códigos de ética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16/06/2021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Códigos de ética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Códigos de ética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16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Códigos de ética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23/06/2021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Códigos de ética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Códigos de ética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17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2º Exercício Escolar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ind w:firstLine="100"/>
              <w:jc w:val="both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30/06/2021</w:t>
            </w:r>
          </w:p>
        </w:tc>
      </w:tr>
    </w:tbl>
    <w:p>
      <w:pPr>
        <w:spacing w:after="0"/>
        <w:rPr>
          <w:rFonts w:ascii="Arial Narrow" w:hAnsi="Arial Narrow" w:eastAsia="Arial Narrow" w:cs="Arial Narrow"/>
          <w:b/>
          <w:sz w:val="20"/>
          <w:szCs w:val="20"/>
        </w:rPr>
        <w:sectPr>
          <w:footerReference r:id="rId6" w:type="first"/>
          <w:headerReference r:id="rId4" w:type="default"/>
          <w:footerReference r:id="rId5" w:type="default"/>
          <w:pgSz w:w="11907" w:h="16839"/>
          <w:pgMar w:top="410" w:right="567" w:bottom="720" w:left="851" w:header="430" w:footer="255" w:gutter="0"/>
          <w:pgNumType w:start="1"/>
          <w:cols w:space="720" w:num="1"/>
        </w:sectPr>
      </w:pPr>
    </w:p>
    <w:p>
      <w:pPr>
        <w:jc w:val="both"/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7" w:h="16839"/>
      <w:pgMar w:top="1440" w:right="1587" w:bottom="1440" w:left="1300" w:header="147" w:footer="303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192" w:lineRule="auto"/>
      <w:rPr>
        <w:vertAlign w:val="sub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  <w:rtl w:val="0"/>
      </w:rPr>
      <w:t>Rua Silva Jardim, 257- Vitória de Santo Antão-PE-031(81) 3526-4904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  <w:tab w:val="right" w:pos="10065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>Av. Agamenon Magalhães, 55- Derby/Recife-PE- (81) 3221-1108</w: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ab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begin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instrText xml:space="preserve">PAGE</w:instrTex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separate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end"/>
    </w:r>
  </w:p>
  <w:p>
    <w:pPr>
      <w:spacing w:after="0" w:line="192" w:lineRule="auto"/>
      <w:rPr>
        <w:vertAlign w:val="subscript"/>
      </w:rPr>
    </w:pPr>
    <w:r>
      <w:rPr>
        <w:vertAlign w:val="subscript"/>
        <w:rtl w:val="0"/>
      </w:rPr>
      <w:t>Av. Domingos Ferreira, 1771, Boa Viagem/ Recife-PE-(81) 3132-5542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0" w:line="276" w:lineRule="auto"/>
      <w:rPr>
        <w:color w:val="000000"/>
      </w:rPr>
    </w:pPr>
  </w:p>
  <w:tbl>
    <w:tblPr>
      <w:tblStyle w:val="16"/>
      <w:tblW w:w="8528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530"/>
      <w:gridCol w:w="1961"/>
      <w:gridCol w:w="1242"/>
      <w:gridCol w:w="2795"/>
    </w:tblGrid>
    <w:tr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842" w:hRule="atLeast"/>
      </w:trPr>
      <w:tc>
        <w:tcPr>
          <w:tcBorders>
            <w:right w:val="single" w:color="000000" w:sz="4" w:space="0"/>
          </w:tcBorders>
          <w:shd w:val="clear" w:color="auto" w:fill="7E848D"/>
          <w:vAlign w:val="center"/>
        </w:tcPr>
        <w:p>
          <w:pPr>
            <w:jc w:val="center"/>
            <w:rPr>
              <w:b w:val="0"/>
              <w:color w:val="000000"/>
            </w:rPr>
          </w:pPr>
          <w:r>
            <w:rPr>
              <w:b/>
              <w:color w:val="000000"/>
            </w:rPr>
            <w:drawing>
              <wp:inline distT="0" distB="0" distL="0" distR="0">
                <wp:extent cx="859155" cy="429260"/>
                <wp:effectExtent l="0" t="0" r="0" b="0"/>
                <wp:docPr id="2" name="image1.png" descr="Espaço reservado para logotip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spaço reservado para logotip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left w:val="single" w:color="000000" w:sz="4" w:space="0"/>
            <w:right w:val="single" w:color="000000" w:sz="4" w:space="0"/>
          </w:tcBorders>
          <w:shd w:val="clear" w:color="auto" w:fill="7E848D"/>
        </w:tcPr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Endereço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Endereço 2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Cidade, estado, CEP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País</w:t>
          </w:r>
        </w:p>
      </w:tc>
      <w:tc>
        <w:tcPr>
          <w:tcBorders>
            <w:left w:val="single" w:color="000000" w:sz="4" w:space="0"/>
          </w:tcBorders>
          <w:shd w:val="clear" w:color="auto" w:fill="7E848D"/>
          <w:vAlign w:val="center"/>
        </w:tcPr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Telefone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FAX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EMAIL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SITE</w:t>
          </w:r>
        </w:p>
      </w:tc>
      <w:tc>
        <w:tcPr>
          <w:shd w:val="clear" w:color="auto" w:fill="7E848D"/>
          <w:vAlign w:val="center"/>
        </w:tcPr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telefone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fax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email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site</w:t>
          </w:r>
        </w:p>
      </w:tc>
    </w:tr>
  </w:tbl>
  <w:p>
    <w:pPr>
      <w:rPr>
        <w:color w:val="000000"/>
        <w:sz w:val="36"/>
        <w:szCs w:val="36"/>
        <w:vertAlign w:val="subscrip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color w:val="4F81BD"/>
        <w:sz w:val="52"/>
        <w:szCs w:val="52"/>
        <w:vertAlign w:val="subscript"/>
      </w:rPr>
    </w:pPr>
    <w:r>
      <w:rPr>
        <w:color w:val="4F81BD"/>
        <w:sz w:val="52"/>
        <w:szCs w:val="52"/>
        <w:vertAlign w:val="subscript"/>
        <w:rtl w:val="0"/>
      </w:rPr>
      <w:t>FACULDADE CEAM</w:t>
    </w:r>
  </w:p>
  <w:p>
    <w:pPr>
      <w:spacing w:after="0" w:line="168" w:lineRule="auto"/>
      <w:jc w:val="center"/>
      <w:rPr>
        <w:rFonts w:ascii="Montserrat" w:hAnsi="Montserrat" w:eastAsia="Montserrat" w:cs="Montserrat"/>
        <w:sz w:val="24"/>
        <w:szCs w:val="24"/>
        <w:vertAlign w:val="subscript"/>
      </w:rPr>
    </w:pPr>
    <w:r>
      <w:rPr>
        <w:rFonts w:ascii="Montserrat" w:hAnsi="Montserrat" w:eastAsia="Montserrat" w:cs="Montserrat"/>
        <w:sz w:val="24"/>
        <w:szCs w:val="24"/>
        <w:vertAlign w:val="subscript"/>
        <w:rtl w:val="0"/>
      </w:rPr>
      <w:t>Travessa Visconde de Abaeté, nº 200 Tamarineira/ Recife-PE-(81) 3132-5542</w:t>
    </w:r>
  </w:p>
  <w:p>
    <w:pPr>
      <w:spacing w:after="0" w:line="168" w:lineRule="auto"/>
      <w:jc w:val="center"/>
      <w:rPr>
        <w:rFonts w:ascii="Montserrat" w:hAnsi="Montserrat" w:eastAsia="Montserrat" w:cs="Montserrat"/>
        <w:sz w:val="24"/>
        <w:szCs w:val="24"/>
        <w:vertAlign w:val="subscript"/>
      </w:rPr>
    </w:pPr>
    <w:r>
      <w:rPr>
        <w:rFonts w:ascii="Montserrat" w:hAnsi="Montserrat" w:eastAsia="Montserrat" w:cs="Montserrat"/>
        <w:sz w:val="24"/>
        <w:szCs w:val="24"/>
        <w:vertAlign w:val="subscript"/>
        <w:rtl w:val="0"/>
      </w:rPr>
      <w:t xml:space="preserve"> (81)99720-0455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</w:pPr>
  </w:p>
  <w:tbl>
    <w:tblPr>
      <w:tblStyle w:val="15"/>
      <w:tblW w:w="10479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38"/>
      <w:gridCol w:w="2025"/>
      <w:gridCol w:w="2132"/>
      <w:gridCol w:w="1198"/>
      <w:gridCol w:w="240"/>
      <w:gridCol w:w="1021"/>
      <w:gridCol w:w="1525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restart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jc w:val="center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Calibri" w:hAnsi="Calibri" w:eastAsia="Calibri" w:cs="Calibri"/>
            </w:rPr>
            <w:drawing>
              <wp:inline distT="114300" distB="114300" distL="114300" distR="114300">
                <wp:extent cx="995680" cy="6985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270" cy="698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 xml:space="preserve">CURSO </w:t>
          </w:r>
        </w:p>
      </w:tc>
      <w:tc>
        <w:tcPr>
          <w:gridSpan w:val="5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Gestão de Recursos Humanos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Disciplina</w:t>
          </w:r>
        </w:p>
      </w:tc>
      <w:tc>
        <w:tcPr>
          <w:gridSpan w:val="3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Ética Profissional e da Empresa</w:t>
          </w:r>
        </w:p>
      </w:tc>
      <w:tc>
        <w:tcPr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Período:</w:t>
          </w:r>
        </w:p>
      </w:tc>
      <w:tc>
        <w:tcPr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2º Período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Professor(a):</w:t>
          </w:r>
        </w:p>
      </w:tc>
      <w:tc>
        <w:tcPr>
          <w:gridSpan w:val="4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Jonas Santana Cavalcanti</w:t>
          </w:r>
        </w:p>
      </w:tc>
      <w:tc>
        <w:tcPr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jc w:val="both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QUARTA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Carga horária:</w:t>
          </w:r>
        </w:p>
      </w:tc>
      <w:tc>
        <w:tcPr>
          <w:shd w:val="clear" w:color="auto" w:fill="auto"/>
          <w:vAlign w:val="center"/>
        </w:tcPr>
        <w:p>
          <w:pPr>
            <w:spacing w:after="20"/>
            <w:ind w:right="-103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60 hora</w:t>
          </w:r>
        </w:p>
      </w:tc>
      <w:tc>
        <w:tcPr>
          <w:shd w:val="clear" w:color="auto" w:fill="auto"/>
          <w:vAlign w:val="center"/>
        </w:tcPr>
        <w:p>
          <w:pPr>
            <w:spacing w:after="20"/>
            <w:ind w:left="-112" w:right="-103" w:firstLine="0"/>
            <w:jc w:val="center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Turma:</w:t>
          </w:r>
        </w:p>
      </w:tc>
      <w:tc>
        <w:tcPr>
          <w:gridSpan w:val="3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GRH1</w:t>
          </w:r>
        </w:p>
      </w:tc>
    </w:tr>
  </w:tbl>
  <w:p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83" w:hanging="141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70F44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80"/>
    </w:pPr>
    <w:rPr>
      <w:rFonts w:ascii="Tahoma" w:hAnsi="Tahoma" w:eastAsia="Tahoma" w:cs="Tahoma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spacing w:after="0"/>
    </w:pPr>
  </w:style>
  <w:style w:type="paragraph" w:styleId="3">
    <w:name w:val="heading 2"/>
    <w:basedOn w:val="1"/>
    <w:next w:val="1"/>
    <w:uiPriority w:val="0"/>
    <w:pPr>
      <w:keepNext/>
      <w:keepLines/>
      <w:spacing w:before="40" w:after="0"/>
    </w:pPr>
  </w:style>
  <w:style w:type="paragraph" w:styleId="4">
    <w:name w:val="heading 3"/>
    <w:basedOn w:val="1"/>
    <w:next w:val="1"/>
    <w:qFormat/>
    <w:uiPriority w:val="0"/>
    <w:pPr>
      <w:keepNext/>
      <w:keepLines/>
      <w:spacing w:before="40" w:after="0"/>
    </w:pPr>
    <w:rPr>
      <w:color w:val="32525C"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40" w:after="0"/>
    </w:pPr>
    <w:rPr>
      <w:i/>
      <w:color w:val="4B7B8A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40" w:after="0"/>
    </w:pPr>
    <w:rPr>
      <w:color w:val="4B7B8A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40" w:after="0"/>
    </w:pPr>
    <w:rPr>
      <w:color w:val="32525C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spacing w:before="200" w:after="1280"/>
      <w:jc w:val="center"/>
    </w:pPr>
    <w:rPr>
      <w:b/>
      <w:smallCaps/>
      <w:color w:val="404040"/>
      <w:sz w:val="44"/>
      <w:szCs w:val="44"/>
    </w:rPr>
  </w:style>
  <w:style w:type="paragraph" w:styleId="11">
    <w:name w:val="Subtitle"/>
    <w:basedOn w:val="1"/>
    <w:next w:val="1"/>
    <w:qFormat/>
    <w:uiPriority w:val="0"/>
    <w:pPr>
      <w:spacing w:after="160"/>
    </w:pPr>
    <w:rPr>
      <w:color w:val="5A5A5A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3"/>
    <w:basedOn w:val="12"/>
    <w:uiPriority w:val="0"/>
    <w:rPr>
      <w:b/>
      <w:color w:val="5D626A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E848D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ScaleCrop>false</ScaleCrop>
  <LinksUpToDate>false</LinksUpToDate>
  <Application>WPS Office_11.2.0.10017_F1E327BC-269C-435d-A152-05C5408002CA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2021-03-03T19:01:36Z</dcterms:created>
  <dc:creator>usuario</dc:creator>
  <cp:lastModifiedBy>usuario</cp:lastModifiedBy>
  <dcterms:modified xsi:type="dcterms:W3CDTF">2021-03-03T23:14:09Z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