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bookmarkStart w:id="1" w:name="_GoBack"/>
      <w:bookmarkEnd w:id="1"/>
    </w:p>
    <w:tbl>
      <w:tblPr>
        <w:tblStyle w:val="13"/>
        <w:tblW w:w="104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9D9D9"/>
          </w:tcPr>
          <w:p>
            <w:pPr>
              <w:spacing w:after="60"/>
              <w:ind w:left="372" w:firstLine="0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EMENTA: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p>
            <w:pPr>
              <w:jc w:val="both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tl w:val="0"/>
              </w:rPr>
              <w:t>D</w:t>
            </w:r>
            <w:r>
              <w:rPr>
                <w:rFonts w:ascii="Arial Narrow" w:hAnsi="Arial Narrow" w:eastAsia="Arial Narrow" w:cs="Arial Narrow"/>
                <w:rtl w:val="0"/>
              </w:rPr>
              <w:t>efinir a ética e a moral; Analisar os princípios éticos aplicáveis com os diferentes</w:t>
            </w:r>
            <w:r>
              <w:rPr>
                <w:rFonts w:ascii="Arial Narrow" w:hAnsi="Arial Narrow" w:eastAsia="Arial Narrow" w:cs="Arial Narrow"/>
                <w:b/>
                <w:i/>
                <w:rtl w:val="0"/>
              </w:rPr>
              <w:t xml:space="preserve"> stakeholders</w:t>
            </w:r>
            <w:r>
              <w:rPr>
                <w:rFonts w:ascii="Arial Narrow" w:hAnsi="Arial Narrow" w:eastAsia="Arial Narrow" w:cs="Arial Narrow"/>
                <w:rtl w:val="0"/>
              </w:rPr>
              <w:t>, internos e externos à empresa; e Identificar os indicadores de responsabilidade social e empresarial.</w:t>
            </w:r>
          </w:p>
        </w:tc>
      </w:tr>
    </w:tbl>
    <w:p>
      <w:pPr>
        <w:rPr>
          <w:rFonts w:ascii="Arial Narrow" w:hAnsi="Arial Narrow" w:eastAsia="Arial Narrow" w:cs="Arial Narrow"/>
        </w:rPr>
      </w:pPr>
    </w:p>
    <w:tbl>
      <w:tblPr>
        <w:tblStyle w:val="14"/>
        <w:tblW w:w="104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081"/>
        <w:gridCol w:w="1144"/>
        <w:gridCol w:w="500"/>
        <w:gridCol w:w="12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bottom w:val="single" w:color="000000" w:sz="4" w:space="0"/>
            </w:tcBorders>
            <w:shd w:val="clear" w:color="auto" w:fill="D9D9D9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M</w:t>
            </w:r>
          </w:p>
        </w:tc>
        <w:tc>
          <w:tcPr>
            <w:tcBorders>
              <w:bottom w:val="single" w:color="000000" w:sz="4" w:space="0"/>
            </w:tcBorders>
            <w:shd w:val="clear" w:color="auto" w:fill="D9D9D9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Conteúdo</w:t>
            </w:r>
          </w:p>
        </w:tc>
        <w:tc>
          <w:tcPr>
            <w:tcBorders>
              <w:bottom w:val="single" w:color="000000" w:sz="4" w:space="0"/>
            </w:tcBorders>
            <w:shd w:val="clear" w:color="auto" w:fill="D9D9D9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Recurso</w:t>
            </w:r>
          </w:p>
        </w:tc>
        <w:tc>
          <w:tcPr>
            <w:tcBorders>
              <w:bottom w:val="single" w:color="000000" w:sz="4" w:space="0"/>
            </w:tcBorders>
            <w:shd w:val="clear" w:color="auto" w:fill="D9D9D9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CH</w:t>
            </w:r>
          </w:p>
        </w:tc>
        <w:tc>
          <w:tcPr>
            <w:tcBorders>
              <w:bottom w:val="single" w:color="000000" w:sz="4" w:space="0"/>
            </w:tcBorders>
            <w:shd w:val="clear" w:color="auto" w:fill="D9D9D9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Data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1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Visão prévia – Moral e Ética;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As teorias e doutrinas éticas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03/03/2021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Visão prévia – Moral e Ética;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As teorias e doutrinas éticas 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continue"/>
            <w:tcBorders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Visão prévia – Moral e Ética;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As teorias e doutrinas éticas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266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   Link para acesso a aula: </w:t>
            </w:r>
            <w:r>
              <w:fldChar w:fldCharType="begin"/>
            </w:r>
            <w:r>
              <w:instrText xml:space="preserve"> HYPERLINK "http://metting/xmcxvcbvnxcbvcm" \h </w:instrText>
            </w:r>
            <w:r>
              <w:fldChar w:fldCharType="separate"/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http://metting/xmcxvcbvnxcbvcm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fldChar w:fldCharType="end"/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tcBorders>
              <w:bottom w:val="dotted" w:color="000000" w:sz="4" w:space="0"/>
              <w:right w:val="dotted" w:color="000000" w:sz="4" w:space="0"/>
            </w:tcBorders>
            <w:shd w:val="clear" w:color="auto" w:fill="D7E3BC"/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 2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Questões éticas nos negócios;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Filosofias morais à ética nos negócios.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10/03/2021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bottom w:val="dotted" w:color="000000" w:sz="4" w:space="0"/>
              <w:right w:val="dotted" w:color="000000" w:sz="4" w:space="0"/>
            </w:tcBorders>
            <w:shd w:val="clear" w:color="auto" w:fill="D7E3BC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after="0"/>
              <w:ind w:left="408" w:hanging="360"/>
              <w:jc w:val="both"/>
              <w:rPr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Questões éticas nos negócios;</w:t>
            </w:r>
          </w:p>
          <w:p>
            <w:pPr>
              <w:numPr>
                <w:ilvl w:val="0"/>
                <w:numId w:val="3"/>
              </w:numPr>
              <w:spacing w:after="0"/>
              <w:ind w:left="408" w:hanging="360"/>
              <w:jc w:val="both"/>
              <w:rPr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Filosofias morais à ética nos negócios.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continue"/>
            <w:tcBorders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bottom w:val="dotted" w:color="000000" w:sz="4" w:space="0"/>
              <w:right w:val="dotted" w:color="000000" w:sz="4" w:space="0"/>
            </w:tcBorders>
            <w:shd w:val="clear" w:color="auto" w:fill="D7E3BC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</w:tcPr>
          <w:p>
            <w:pPr>
              <w:numPr>
                <w:ilvl w:val="0"/>
                <w:numId w:val="1"/>
              </w:numPr>
              <w:tabs>
                <w:tab w:val="left" w:pos="720"/>
              </w:tabs>
              <w:spacing w:after="0"/>
              <w:ind w:left="408" w:hanging="360"/>
              <w:jc w:val="both"/>
              <w:rPr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Questões éticas nos negócios;</w:t>
            </w:r>
          </w:p>
          <w:p>
            <w:pPr>
              <w:numPr>
                <w:ilvl w:val="0"/>
                <w:numId w:val="1"/>
              </w:numPr>
              <w:tabs>
                <w:tab w:val="left" w:pos="720"/>
              </w:tabs>
              <w:spacing w:after="0"/>
              <w:ind w:left="408" w:hanging="360"/>
              <w:jc w:val="both"/>
              <w:rPr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Filosofias morais à ética nos negócios.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\h </w:instrText>
            </w:r>
            <w:r>
              <w:fldChar w:fldCharType="separate"/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http://metting/xmcxvcbvnxcbvcm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fldChar w:fldCharType="end"/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3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Responsabilidade Social;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O terceiro setor e o voluntariado. A responsabilidade solidária;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Indicadores de responsabilidade social e empresarial;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17/03/2021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Assistir os vídeos sobre o Instituto Ethos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 xml:space="preserve">Instituto Ethos </w:t>
            </w: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- https://www.youtube.com/watch?v=VGLOEZhr7ds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 xml:space="preserve">Instituto Ethos - </w:t>
            </w: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https://www.youtube.com/watch?v=QMa65oPUia8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;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continue"/>
            <w:tcBorders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Responsabilidade Social;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O terceiro setor e o voluntariado. A responsabilidade solidária;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Indicadores de responsabilidade social e empresarial;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\h </w:instrText>
            </w:r>
            <w:r>
              <w:fldChar w:fldCharType="separate"/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http://metting/xmcxvcbvnxcbvcm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fldChar w:fldCharType="end"/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tcBorders>
              <w:top w:val="dotted" w:color="000000" w:sz="4" w:space="0"/>
              <w:right w:val="dotted" w:color="000000" w:sz="4" w:space="0"/>
            </w:tcBorders>
            <w:shd w:val="clear" w:color="auto" w:fill="D7E3BC"/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 4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Modelo estrutural para compreender as tomadas de decisão nas empresas;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A cultura da empresa e a tomada de decisões ética;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Relacionamentos organizacionais e conflitos nas tomadas de decisões éticas;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24/03/2021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shd w:val="clear" w:color="auto" w:fill="D7E3BC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Modelo estrutural para compreender as tomadas de decisão nas empresas;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A cultura da empresa e a tomada de decisões ética;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Relacionamentos organizacionais e conflitos nas tomadas de decisões éticas.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shd w:val="clear" w:color="auto" w:fill="D7E3BC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Modelo estrutural para compreender as tomadas de decisão nas empresas;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A cultura da empresa e a tomada de decisões ética;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Relacionamentos organizacionais e conflitos nas tomadas de decisões éticas;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\h </w:instrText>
            </w:r>
            <w:r>
              <w:fldChar w:fldCharType="separate"/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http://metting/xmcxvcbvnxcbvcm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fldChar w:fldCharType="end"/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5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Dilemas éticos;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Princípios éticos aplicáveis a todas as atividades empresariais.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31/03/2021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Dilemas éticos;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Princípios éticos aplicáveis a todas as atividades empresariais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Dilemas éticos;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Princípios éticos aplicáveis a todas as atividades empresariais;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\h </w:instrText>
            </w:r>
            <w:r>
              <w:fldChar w:fldCharType="separate"/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http://metting/xmcxvcbvnxcbvcm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fldChar w:fldCharType="end"/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restart"/>
            <w:tcBorders>
              <w:top w:val="dotted" w:color="000000" w:sz="4" w:space="0"/>
              <w:right w:val="dotted" w:color="000000" w:sz="4" w:space="0"/>
            </w:tcBorders>
            <w:shd w:val="clear" w:color="auto" w:fill="D7E3BC"/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 6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Princípios éticos aplicáveis às relações com clientes – Aspectos principais no relacionamento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Propaganda subliminar.</w:t>
            </w:r>
          </w:p>
          <w:p>
            <w:pPr>
              <w:spacing w:after="0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07/04/2021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shd w:val="clear" w:color="auto" w:fill="D7E3BC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pStyle w:val="2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line="288" w:lineRule="auto"/>
              <w:ind w:left="720" w:hanging="360"/>
              <w:rPr>
                <w:sz w:val="24"/>
                <w:szCs w:val="24"/>
              </w:rPr>
            </w:pPr>
            <w:bookmarkStart w:id="0" w:name="_b7iefq87yxtc" w:colFirst="0" w:colLast="0"/>
            <w:bookmarkEnd w:id="0"/>
            <w:r>
              <w:rPr>
                <w:rFonts w:ascii="Arial" w:hAnsi="Arial" w:eastAsia="Arial" w:cs="Arial"/>
                <w:color w:val="2E2F32"/>
                <w:sz w:val="24"/>
                <w:szCs w:val="24"/>
                <w:rtl w:val="0"/>
              </w:rPr>
              <w:t>As questões étnico raciais no mercado de trabalho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Propaganda subliminar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shd w:val="clear" w:color="auto" w:fill="D7E3BC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Princípios éticos aplicáveis às relações com clientes – Aspectos principais no relacionamento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Propaganda subliminar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\h </w:instrText>
            </w:r>
            <w:r>
              <w:fldChar w:fldCharType="separate"/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http://metting/xmcxvcbvnxcbvcm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fldChar w:fldCharType="end"/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restart"/>
            <w:tcBorders>
              <w:top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 7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8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CONAR – Legislação e casos</w:t>
            </w:r>
          </w:p>
          <w:p>
            <w:pPr>
              <w:spacing w:after="0"/>
              <w:ind w:left="408" w:firstLine="0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14/04/2021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CONAR – Legislação e casos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CONAR – Legislação e casos;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8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\h </w:instrText>
            </w:r>
            <w:r>
              <w:fldChar w:fldCharType="separate"/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http://metting/xmcxvcbvnxcbvcm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fldChar w:fldCharType="end"/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Borders>
              <w:top w:val="dotted" w:color="000000" w:sz="4" w:space="0"/>
              <w:right w:val="dotted" w:color="000000" w:sz="4" w:space="0"/>
            </w:tcBorders>
            <w:shd w:val="clear" w:color="auto" w:fill="D7E3BC"/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8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1º Exercício Escolar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28/04/2021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restart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 9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CONAR – Legislação e casos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05/05/2021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CONAR – Legislação e casos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CONAR – Legislação e casos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8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\h </w:instrText>
            </w:r>
            <w:r>
              <w:fldChar w:fldCharType="separate"/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http://metting/xmcxvcbvnxcbvcm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fldChar w:fldCharType="end"/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restart"/>
            <w:tcBorders>
              <w:top w:val="dotted" w:color="000000" w:sz="4" w:space="0"/>
              <w:right w:val="dotted" w:color="000000" w:sz="4" w:space="0"/>
            </w:tcBorders>
            <w:shd w:val="clear" w:color="auto" w:fill="D7E3BC"/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10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tabs>
                <w:tab w:val="left" w:pos="408"/>
              </w:tabs>
              <w:spacing w:after="0"/>
              <w:ind w:left="408" w:firstLine="0"/>
              <w:jc w:val="both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408"/>
              </w:tabs>
              <w:spacing w:after="0"/>
              <w:ind w:left="408" w:hanging="360"/>
              <w:jc w:val="both"/>
              <w:rPr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Princípios éticos aplicáveis às relações com fornecedores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408"/>
              </w:tabs>
              <w:spacing w:before="0" w:after="0" w:line="240" w:lineRule="auto"/>
              <w:ind w:left="408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12/05/2021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shd w:val="clear" w:color="auto" w:fill="D7E3BC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08"/>
              </w:tabs>
              <w:spacing w:after="0"/>
              <w:ind w:left="408" w:hanging="360"/>
              <w:jc w:val="both"/>
              <w:rPr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Princípios éticos aplicáveis às relações com fornecedores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408"/>
              </w:tabs>
              <w:spacing w:before="0" w:after="0" w:line="240" w:lineRule="auto"/>
              <w:ind w:left="408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shd w:val="clear" w:color="auto" w:fill="D7E3BC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numPr>
                <w:ilvl w:val="0"/>
                <w:numId w:val="3"/>
              </w:numPr>
              <w:tabs>
                <w:tab w:val="left" w:pos="408"/>
              </w:tabs>
              <w:spacing w:after="0"/>
              <w:ind w:left="408" w:hanging="360"/>
              <w:jc w:val="both"/>
              <w:rPr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Princípios éticos aplicáveis às relações com fornecedores</w:t>
            </w:r>
          </w:p>
          <w:p>
            <w:pPr>
              <w:numPr>
                <w:ilvl w:val="0"/>
                <w:numId w:val="3"/>
              </w:numPr>
              <w:tabs>
                <w:tab w:val="left" w:pos="408"/>
              </w:tabs>
              <w:spacing w:after="0"/>
              <w:ind w:left="408" w:hanging="360"/>
              <w:jc w:val="both"/>
              <w:rPr>
                <w:color w:val="000000"/>
                <w:sz w:val="20"/>
                <w:szCs w:val="20"/>
                <w:u w:val="none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\h </w:instrText>
            </w:r>
            <w:r>
              <w:fldChar w:fldCharType="separate"/>
            </w:r>
            <w:r>
              <w:rPr>
                <w:rFonts w:ascii="Arial Narrow" w:hAnsi="Arial Narrow" w:eastAsia="Arial Narrow" w:cs="Arial Narrow"/>
                <w:color w:val="0000FF"/>
                <w:sz w:val="20"/>
                <w:szCs w:val="20"/>
                <w:u w:val="single"/>
                <w:rtl w:val="0"/>
              </w:rPr>
              <w:t>http://metting/xmcxvcbvnxcbvcm</w:t>
            </w:r>
            <w:r>
              <w:rPr>
                <w:rFonts w:ascii="Arial Narrow" w:hAnsi="Arial Narrow" w:eastAsia="Arial Narrow" w:cs="Arial Narrow"/>
                <w:color w:val="0000FF"/>
                <w:sz w:val="20"/>
                <w:szCs w:val="20"/>
                <w:u w:val="single"/>
                <w:rtl w:val="0"/>
              </w:rPr>
              <w:fldChar w:fldCharType="end"/>
            </w:r>
          </w:p>
          <w:p>
            <w:pPr>
              <w:tabs>
                <w:tab w:val="left" w:pos="408"/>
              </w:tabs>
              <w:spacing w:after="0"/>
              <w:ind w:left="408" w:firstLine="0"/>
              <w:jc w:val="both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restart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11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266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Princípios éticos aplicáveis às relações com clientes – Aspectos acessórios no relacionamento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19/05/2021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266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Princípios éticos aplicáveis às relações com clientes – Aspectos acessórios no relacionamento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numPr>
                <w:ilvl w:val="0"/>
                <w:numId w:val="3"/>
              </w:numPr>
              <w:tabs>
                <w:tab w:val="left" w:pos="408"/>
              </w:tabs>
              <w:spacing w:after="0"/>
              <w:ind w:left="408" w:hanging="360"/>
              <w:jc w:val="both"/>
              <w:rPr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Princípios éticos aplicáveis às relações com a concorrência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\h </w:instrText>
            </w:r>
            <w:r>
              <w:fldChar w:fldCharType="separate"/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http://metting/xmcxvcbvnxcbvcm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fldChar w:fldCharType="end"/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restart"/>
            <w:tcBorders>
              <w:top w:val="dotted" w:color="000000" w:sz="4" w:space="0"/>
              <w:right w:val="dotted" w:color="000000" w:sz="4" w:space="0"/>
            </w:tcBorders>
            <w:shd w:val="clear" w:color="auto" w:fill="D7E3BC"/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12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tabs>
                <w:tab w:val="left" w:pos="408"/>
              </w:tabs>
              <w:spacing w:after="0"/>
              <w:ind w:left="408" w:firstLine="0"/>
              <w:jc w:val="both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408"/>
              </w:tabs>
              <w:spacing w:after="0"/>
              <w:ind w:left="408" w:hanging="360"/>
              <w:jc w:val="both"/>
              <w:rPr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Princípios éticos aplicáveis às relações com a concorrência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408"/>
              </w:tabs>
              <w:spacing w:before="0" w:after="0" w:line="240" w:lineRule="auto"/>
              <w:ind w:left="408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26/05/2021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shd w:val="clear" w:color="auto" w:fill="D7E3BC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08"/>
              </w:tabs>
              <w:spacing w:after="0"/>
              <w:ind w:left="408" w:hanging="360"/>
              <w:jc w:val="both"/>
              <w:rPr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Princípios éticos aplicáveis às relações com a concorrênciia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408"/>
              </w:tabs>
              <w:spacing w:before="0" w:after="0" w:line="240" w:lineRule="auto"/>
              <w:ind w:left="408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shd w:val="clear" w:color="auto" w:fill="D7E3BC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numPr>
                <w:ilvl w:val="0"/>
                <w:numId w:val="3"/>
              </w:numPr>
              <w:tabs>
                <w:tab w:val="left" w:pos="408"/>
              </w:tabs>
              <w:spacing w:after="0"/>
              <w:ind w:left="408" w:hanging="360"/>
              <w:jc w:val="both"/>
              <w:rPr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Princípios éticos aplicáveis às relações com a concorrência</w:t>
            </w:r>
          </w:p>
          <w:p>
            <w:pPr>
              <w:numPr>
                <w:ilvl w:val="0"/>
                <w:numId w:val="3"/>
              </w:numPr>
              <w:tabs>
                <w:tab w:val="left" w:pos="408"/>
              </w:tabs>
              <w:spacing w:after="0"/>
              <w:ind w:left="408" w:hanging="360"/>
              <w:jc w:val="both"/>
              <w:rPr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\h </w:instrText>
            </w:r>
            <w:r>
              <w:fldChar w:fldCharType="separate"/>
            </w:r>
            <w:r>
              <w:rPr>
                <w:rFonts w:ascii="Arial Narrow" w:hAnsi="Arial Narrow" w:eastAsia="Arial Narrow" w:cs="Arial Narrow"/>
                <w:color w:val="0000FF"/>
                <w:sz w:val="20"/>
                <w:szCs w:val="20"/>
                <w:u w:val="single"/>
                <w:rtl w:val="0"/>
              </w:rPr>
              <w:t>http://metting/xmcxvcbvnxcbvcm</w:t>
            </w:r>
            <w:r>
              <w:rPr>
                <w:rFonts w:ascii="Arial Narrow" w:hAnsi="Arial Narrow" w:eastAsia="Arial Narrow" w:cs="Arial Narrow"/>
                <w:color w:val="0000FF"/>
                <w:sz w:val="20"/>
                <w:szCs w:val="20"/>
                <w:u w:val="single"/>
                <w:rtl w:val="0"/>
              </w:rPr>
              <w:fldChar w:fldCharType="end"/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restart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13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tabs>
                <w:tab w:val="left" w:pos="266"/>
              </w:tabs>
              <w:spacing w:after="0"/>
              <w:jc w:val="both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266"/>
              </w:tabs>
              <w:spacing w:after="0"/>
              <w:ind w:left="408" w:hanging="360"/>
              <w:jc w:val="both"/>
              <w:rPr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Princípios éticos aplicáveis ao relacionamento com o setor público;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266"/>
              </w:tabs>
              <w:spacing w:before="0" w:after="0" w:line="240" w:lineRule="auto"/>
              <w:ind w:left="408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02/06/2021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6"/>
              </w:tabs>
              <w:spacing w:after="0"/>
              <w:ind w:left="408" w:hanging="360"/>
              <w:jc w:val="both"/>
              <w:rPr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Princípios éticos aplicáveis ao relacionamento com o setor público;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266"/>
              </w:tabs>
              <w:spacing w:before="0" w:after="0" w:line="240" w:lineRule="auto"/>
              <w:ind w:left="408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tabs>
                <w:tab w:val="left" w:pos="266"/>
                <w:tab w:val="left" w:pos="720"/>
              </w:tabs>
              <w:spacing w:after="0"/>
              <w:ind w:left="408" w:firstLine="0"/>
              <w:jc w:val="both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266"/>
              </w:tabs>
              <w:spacing w:after="0"/>
              <w:ind w:left="408" w:hanging="360"/>
              <w:jc w:val="both"/>
              <w:rPr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Princípios éticos aplicáveis ao relacionamento com o setor público</w:t>
            </w:r>
          </w:p>
          <w:p>
            <w:pPr>
              <w:numPr>
                <w:ilvl w:val="0"/>
                <w:numId w:val="3"/>
              </w:numPr>
              <w:tabs>
                <w:tab w:val="left" w:pos="266"/>
              </w:tabs>
              <w:spacing w:after="0"/>
              <w:ind w:left="408" w:hanging="360"/>
              <w:jc w:val="both"/>
              <w:rPr>
                <w:color w:val="000000"/>
                <w:sz w:val="20"/>
                <w:szCs w:val="20"/>
                <w:u w:val="none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\h </w:instrText>
            </w:r>
            <w:r>
              <w:fldChar w:fldCharType="separate"/>
            </w:r>
            <w:r>
              <w:rPr>
                <w:rFonts w:ascii="Arial Narrow" w:hAnsi="Arial Narrow" w:eastAsia="Arial Narrow" w:cs="Arial Narrow"/>
                <w:color w:val="0000FF"/>
                <w:sz w:val="20"/>
                <w:szCs w:val="20"/>
                <w:u w:val="single"/>
                <w:rtl w:val="0"/>
              </w:rPr>
              <w:t>http://metting/xmcxvcbvnxcbvcm</w:t>
            </w:r>
            <w:r>
              <w:rPr>
                <w:rFonts w:ascii="Arial Narrow" w:hAnsi="Arial Narrow" w:eastAsia="Arial Narrow" w:cs="Arial Narrow"/>
                <w:color w:val="0000FF"/>
                <w:sz w:val="20"/>
                <w:szCs w:val="20"/>
                <w:u w:val="single"/>
                <w:rtl w:val="0"/>
              </w:rPr>
              <w:fldChar w:fldCharType="end"/>
            </w:r>
          </w:p>
          <w:p>
            <w:pPr>
              <w:tabs>
                <w:tab w:val="left" w:pos="266"/>
              </w:tabs>
              <w:spacing w:after="0"/>
              <w:ind w:left="408" w:firstLine="0"/>
              <w:jc w:val="both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restart"/>
            <w:tcBorders>
              <w:top w:val="dotted" w:color="000000" w:sz="4" w:space="0"/>
              <w:right w:val="dotted" w:color="000000" w:sz="4" w:space="0"/>
            </w:tcBorders>
            <w:shd w:val="clear" w:color="auto" w:fill="D7E3BC"/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14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266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Código de ética dos administradores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09/06/2021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shd w:val="clear" w:color="auto" w:fill="D7E3BC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266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  Código de ética dos administradores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shd w:val="clear" w:color="auto" w:fill="D7E3BC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Código de ética dos administradores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\h </w:instrText>
            </w:r>
            <w:r>
              <w:fldChar w:fldCharType="separate"/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http://metting/xmcxvcbvnxcbvcm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fldChar w:fldCharType="end"/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restart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15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Códigos de ética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16/06/2021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Códigos de ética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Códigos de ética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\h </w:instrText>
            </w:r>
            <w:r>
              <w:fldChar w:fldCharType="separate"/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http://metting/xmcxvcbvnxcbvcm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fldChar w:fldCharType="end"/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restart"/>
            <w:tcBorders>
              <w:top w:val="dotted" w:color="000000" w:sz="4" w:space="0"/>
              <w:right w:val="dotted" w:color="000000" w:sz="4" w:space="0"/>
            </w:tcBorders>
            <w:shd w:val="clear" w:color="auto" w:fill="D7E3BC"/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16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Códigos de ética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23/06/2021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shd w:val="clear" w:color="auto" w:fill="D7E3BC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266" w:right="0" w:hanging="21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Códigos de ética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Merge w:val="continue"/>
            <w:tcBorders>
              <w:top w:val="dotted" w:color="000000" w:sz="4" w:space="0"/>
              <w:right w:val="dotted" w:color="000000" w:sz="4" w:space="0"/>
            </w:tcBorders>
            <w:shd w:val="clear" w:color="auto" w:fill="D7E3BC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Códigos de ética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0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\h </w:instrText>
            </w:r>
            <w:r>
              <w:fldChar w:fldCharType="separate"/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http://metting/xmcxvcbvnxcbvcm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fldChar w:fldCharType="end"/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Borders>
              <w:top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Aula 17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2º Exercício Escolar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ind w:firstLine="100"/>
              <w:jc w:val="both"/>
              <w:rPr>
                <w:rFonts w:ascii="Arial Narrow" w:hAnsi="Arial Narrow" w:eastAsia="Arial Narrow" w:cs="Arial Narrow"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30/06/2021</w:t>
            </w:r>
          </w:p>
        </w:tc>
      </w:tr>
    </w:tbl>
    <w:p>
      <w:pPr>
        <w:spacing w:after="0"/>
        <w:rPr>
          <w:rFonts w:ascii="Arial Narrow" w:hAnsi="Arial Narrow" w:eastAsia="Arial Narrow" w:cs="Arial Narrow"/>
          <w:b/>
          <w:sz w:val="20"/>
          <w:szCs w:val="20"/>
        </w:rPr>
        <w:sectPr>
          <w:footerReference r:id="rId6" w:type="first"/>
          <w:headerReference r:id="rId4" w:type="default"/>
          <w:footerReference r:id="rId5" w:type="default"/>
          <w:pgSz w:w="11907" w:h="16839"/>
          <w:pgMar w:top="410" w:right="567" w:bottom="720" w:left="851" w:header="430" w:footer="255" w:gutter="0"/>
          <w:pgNumType w:start="1"/>
          <w:cols w:space="720" w:num="1"/>
        </w:sectPr>
      </w:pPr>
    </w:p>
    <w:p>
      <w:pPr>
        <w:jc w:val="both"/>
      </w:pPr>
    </w:p>
    <w:sectPr>
      <w:headerReference r:id="rId9" w:type="first"/>
      <w:footerReference r:id="rId12" w:type="first"/>
      <w:headerReference r:id="rId7" w:type="default"/>
      <w:footerReference r:id="rId10" w:type="default"/>
      <w:headerReference r:id="rId8" w:type="even"/>
      <w:footerReference r:id="rId11" w:type="even"/>
      <w:pgSz w:w="11907" w:h="16839"/>
      <w:pgMar w:top="1440" w:right="1587" w:bottom="1440" w:left="1300" w:header="147" w:footer="303" w:gutter="0"/>
      <w:pgNumType w:start="1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192" w:lineRule="auto"/>
      <w:rPr>
        <w:vertAlign w:val="subscrip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509"/>
        <w:tab w:val="center" w:pos="5244"/>
      </w:tabs>
      <w:spacing w:after="0" w:line="192" w:lineRule="auto"/>
      <w:rPr>
        <w:vertAlign w:val="subscript"/>
      </w:rPr>
    </w:pPr>
    <w:r>
      <w:rPr>
        <w:vertAlign w:val="subscript"/>
        <w:rtl w:val="0"/>
      </w:rPr>
      <w:t>Rua Silva Jardim, 257- Vitória de Santo Antão-PE-031(81) 3526-4904</w:t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  <w:tab w:val="right" w:pos="10065"/>
      </w:tabs>
      <w:spacing w:before="0" w:after="0" w:line="240" w:lineRule="auto"/>
      <w:ind w:left="0" w:right="0" w:firstLine="0"/>
      <w:jc w:val="left"/>
      <w:rPr>
        <w:rFonts w:ascii="Tahoma" w:hAnsi="Tahoma" w:eastAsia="Tahoma" w:cs="Tahoma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rPr>
        <w:rFonts w:ascii="Tahoma" w:hAnsi="Tahoma" w:eastAsia="Tahoma" w:cs="Tahoma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subscript"/>
        <w:rtl w:val="0"/>
      </w:rPr>
      <w:t>Av. Agamenon Magalhães, 55- Derby/Recife-PE- (81) 3221-1108</w:t>
    </w:r>
    <w:r>
      <w:rPr>
        <w:rFonts w:ascii="Tahoma" w:hAnsi="Tahoma" w:eastAsia="Tahoma" w:cs="Tahoma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subscript"/>
        <w:rtl w:val="0"/>
      </w:rPr>
      <w:tab/>
    </w:r>
    <w:r>
      <w:rPr>
        <w:rFonts w:ascii="Tahoma" w:hAnsi="Tahoma" w:eastAsia="Tahoma" w:cs="Tahoma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subscript"/>
      </w:rPr>
      <w:fldChar w:fldCharType="begin"/>
    </w:r>
    <w:r>
      <w:rPr>
        <w:rFonts w:ascii="Tahoma" w:hAnsi="Tahoma" w:eastAsia="Tahoma" w:cs="Tahoma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subscript"/>
      </w:rPr>
      <w:instrText xml:space="preserve">PAGE</w:instrText>
    </w:r>
    <w:r>
      <w:rPr>
        <w:rFonts w:ascii="Tahoma" w:hAnsi="Tahoma" w:eastAsia="Tahoma" w:cs="Tahoma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subscript"/>
      </w:rPr>
      <w:fldChar w:fldCharType="separate"/>
    </w:r>
    <w:r>
      <w:rPr>
        <w:rFonts w:ascii="Tahoma" w:hAnsi="Tahoma" w:eastAsia="Tahoma" w:cs="Tahoma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subscript"/>
      </w:rPr>
      <w:fldChar w:fldCharType="end"/>
    </w:r>
  </w:p>
  <w:p>
    <w:pPr>
      <w:spacing w:after="0" w:line="192" w:lineRule="auto"/>
      <w:rPr>
        <w:vertAlign w:val="subscript"/>
      </w:rPr>
    </w:pPr>
    <w:r>
      <w:rPr>
        <w:vertAlign w:val="subscript"/>
        <w:rtl w:val="0"/>
      </w:rPr>
      <w:t>Av. Domingos Ferreira, 1771, Boa Viagem/ Recife-PE-(81) 3132-5542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after="0" w:line="276" w:lineRule="auto"/>
      <w:rPr>
        <w:color w:val="000000"/>
      </w:rPr>
    </w:pPr>
  </w:p>
  <w:tbl>
    <w:tblPr>
      <w:tblStyle w:val="16"/>
      <w:tblW w:w="8528" w:type="dxa"/>
      <w:tblInd w:w="0" w:type="dxa"/>
      <w:tblLayout w:type="fixed"/>
      <w:tblCellMar>
        <w:top w:w="0" w:type="dxa"/>
        <w:left w:w="115" w:type="dxa"/>
        <w:bottom w:w="0" w:type="dxa"/>
        <w:right w:w="115" w:type="dxa"/>
      </w:tblCellMar>
    </w:tblPr>
    <w:tblGrid>
      <w:gridCol w:w="2530"/>
      <w:gridCol w:w="1961"/>
      <w:gridCol w:w="1242"/>
      <w:gridCol w:w="2795"/>
    </w:tblGrid>
    <w:tr>
      <w:tblPrEx>
        <w:tblCellMar>
          <w:top w:w="0" w:type="dxa"/>
          <w:left w:w="115" w:type="dxa"/>
          <w:bottom w:w="0" w:type="dxa"/>
          <w:right w:w="115" w:type="dxa"/>
        </w:tblCellMar>
      </w:tblPrEx>
      <w:trPr>
        <w:trHeight w:val="842" w:hRule="atLeast"/>
      </w:trPr>
      <w:tc>
        <w:tcPr>
          <w:tcBorders>
            <w:right w:val="single" w:color="000000" w:sz="4" w:space="0"/>
          </w:tcBorders>
          <w:shd w:val="clear" w:color="auto" w:fill="7E848D"/>
          <w:vAlign w:val="center"/>
        </w:tcPr>
        <w:p>
          <w:pPr>
            <w:jc w:val="center"/>
            <w:rPr>
              <w:b w:val="0"/>
              <w:color w:val="000000"/>
            </w:rPr>
          </w:pPr>
          <w:r>
            <w:rPr>
              <w:b/>
              <w:color w:val="000000"/>
            </w:rPr>
            <w:drawing>
              <wp:inline distT="0" distB="0" distL="0" distR="0">
                <wp:extent cx="859155" cy="429260"/>
                <wp:effectExtent l="0" t="0" r="0" b="0"/>
                <wp:docPr id="2" name="image1.png" descr="Espaço reservado para logotip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Espaço reservado para logotip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536" cy="4297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Borders>
            <w:left w:val="single" w:color="000000" w:sz="4" w:space="0"/>
            <w:right w:val="single" w:color="000000" w:sz="4" w:space="0"/>
          </w:tcBorders>
          <w:shd w:val="clear" w:color="auto" w:fill="7E848D"/>
        </w:tcPr>
        <w:p>
          <w:pPr>
            <w:rPr>
              <w:b w:val="0"/>
              <w:color w:val="000000"/>
            </w:rPr>
          </w:pPr>
          <w:r>
            <w:rPr>
              <w:b w:val="0"/>
              <w:color w:val="000000"/>
              <w:rtl w:val="0"/>
            </w:rPr>
            <w:t>Endereço</w:t>
          </w:r>
        </w:p>
        <w:p>
          <w:pPr>
            <w:rPr>
              <w:b w:val="0"/>
              <w:color w:val="000000"/>
            </w:rPr>
          </w:pPr>
          <w:r>
            <w:rPr>
              <w:b w:val="0"/>
              <w:color w:val="000000"/>
              <w:rtl w:val="0"/>
            </w:rPr>
            <w:t>Endereço 2</w:t>
          </w:r>
        </w:p>
        <w:p>
          <w:pPr>
            <w:rPr>
              <w:b w:val="0"/>
              <w:color w:val="000000"/>
            </w:rPr>
          </w:pPr>
          <w:r>
            <w:rPr>
              <w:b w:val="0"/>
              <w:color w:val="000000"/>
              <w:rtl w:val="0"/>
            </w:rPr>
            <w:t>Cidade, estado, CEP</w:t>
          </w:r>
        </w:p>
        <w:p>
          <w:pPr>
            <w:rPr>
              <w:b w:val="0"/>
              <w:color w:val="000000"/>
            </w:rPr>
          </w:pPr>
          <w:r>
            <w:rPr>
              <w:b w:val="0"/>
              <w:color w:val="000000"/>
              <w:rtl w:val="0"/>
            </w:rPr>
            <w:t>País</w:t>
          </w:r>
        </w:p>
      </w:tc>
      <w:tc>
        <w:tcPr>
          <w:tcBorders>
            <w:left w:val="single" w:color="000000" w:sz="4" w:space="0"/>
          </w:tcBorders>
          <w:shd w:val="clear" w:color="auto" w:fill="7E848D"/>
          <w:vAlign w:val="center"/>
        </w:tcPr>
        <w:p>
          <w:pPr>
            <w:jc w:val="right"/>
            <w:rPr>
              <w:b w:val="0"/>
              <w:smallCaps/>
              <w:color w:val="000000"/>
            </w:rPr>
          </w:pPr>
          <w:r>
            <w:rPr>
              <w:b w:val="0"/>
              <w:smallCaps/>
              <w:color w:val="000000"/>
              <w:rtl w:val="0"/>
            </w:rPr>
            <w:t>Telefone</w:t>
          </w:r>
        </w:p>
        <w:p>
          <w:pPr>
            <w:jc w:val="right"/>
            <w:rPr>
              <w:b w:val="0"/>
              <w:smallCaps/>
              <w:color w:val="000000"/>
            </w:rPr>
          </w:pPr>
          <w:r>
            <w:rPr>
              <w:b w:val="0"/>
              <w:smallCaps/>
              <w:color w:val="000000"/>
              <w:rtl w:val="0"/>
            </w:rPr>
            <w:t>FAX</w:t>
          </w:r>
        </w:p>
        <w:p>
          <w:pPr>
            <w:jc w:val="right"/>
            <w:rPr>
              <w:b w:val="0"/>
              <w:smallCaps/>
              <w:color w:val="000000"/>
            </w:rPr>
          </w:pPr>
          <w:r>
            <w:rPr>
              <w:b w:val="0"/>
              <w:smallCaps/>
              <w:color w:val="000000"/>
              <w:rtl w:val="0"/>
            </w:rPr>
            <w:t>EMAIL</w:t>
          </w:r>
        </w:p>
        <w:p>
          <w:pPr>
            <w:jc w:val="right"/>
            <w:rPr>
              <w:b w:val="0"/>
              <w:smallCaps/>
              <w:color w:val="000000"/>
            </w:rPr>
          </w:pPr>
          <w:r>
            <w:rPr>
              <w:b w:val="0"/>
              <w:smallCaps/>
              <w:color w:val="000000"/>
              <w:rtl w:val="0"/>
            </w:rPr>
            <w:t>SITE</w:t>
          </w:r>
        </w:p>
      </w:tc>
      <w:tc>
        <w:tcPr>
          <w:shd w:val="clear" w:color="auto" w:fill="7E848D"/>
          <w:vAlign w:val="center"/>
        </w:tcPr>
        <w:p>
          <w:pPr>
            <w:rPr>
              <w:b w:val="0"/>
              <w:color w:val="000000"/>
            </w:rPr>
          </w:pPr>
          <w:r>
            <w:rPr>
              <w:b w:val="0"/>
              <w:color w:val="000000"/>
              <w:rtl w:val="0"/>
            </w:rPr>
            <w:t>Insira o telefone</w:t>
          </w:r>
        </w:p>
        <w:p>
          <w:pPr>
            <w:rPr>
              <w:b w:val="0"/>
              <w:color w:val="000000"/>
            </w:rPr>
          </w:pPr>
          <w:r>
            <w:rPr>
              <w:b w:val="0"/>
              <w:color w:val="000000"/>
              <w:rtl w:val="0"/>
            </w:rPr>
            <w:t>Insira o fax</w:t>
          </w:r>
        </w:p>
        <w:p>
          <w:pPr>
            <w:rPr>
              <w:b w:val="0"/>
              <w:color w:val="000000"/>
            </w:rPr>
          </w:pPr>
          <w:r>
            <w:rPr>
              <w:b w:val="0"/>
              <w:color w:val="000000"/>
              <w:rtl w:val="0"/>
            </w:rPr>
            <w:t>Insira o email</w:t>
          </w:r>
        </w:p>
        <w:p>
          <w:pPr>
            <w:rPr>
              <w:b w:val="0"/>
              <w:color w:val="000000"/>
            </w:rPr>
          </w:pPr>
          <w:r>
            <w:rPr>
              <w:b w:val="0"/>
              <w:color w:val="000000"/>
              <w:rtl w:val="0"/>
            </w:rPr>
            <w:t>Insira o site</w:t>
          </w:r>
        </w:p>
      </w:tc>
    </w:tr>
  </w:tbl>
  <w:p>
    <w:pPr>
      <w:rPr>
        <w:color w:val="000000"/>
        <w:sz w:val="36"/>
        <w:szCs w:val="36"/>
        <w:vertAlign w:val="subscript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ahoma" w:hAnsi="Tahoma" w:eastAsia="Tahoma" w:cs="Tahoma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jc w:val="center"/>
      <w:rPr>
        <w:color w:val="4F81BD"/>
        <w:sz w:val="52"/>
        <w:szCs w:val="52"/>
        <w:vertAlign w:val="subscript"/>
      </w:rPr>
    </w:pPr>
    <w:r>
      <w:rPr>
        <w:color w:val="4F81BD"/>
        <w:sz w:val="52"/>
        <w:szCs w:val="52"/>
        <w:vertAlign w:val="subscript"/>
        <w:rtl w:val="0"/>
      </w:rPr>
      <w:t>FACULDADE CEAM</w:t>
    </w:r>
  </w:p>
  <w:p>
    <w:pPr>
      <w:spacing w:after="0" w:line="168" w:lineRule="auto"/>
      <w:jc w:val="center"/>
      <w:rPr>
        <w:rFonts w:ascii="Montserrat" w:hAnsi="Montserrat" w:eastAsia="Montserrat" w:cs="Montserrat"/>
        <w:sz w:val="24"/>
        <w:szCs w:val="24"/>
        <w:vertAlign w:val="subscript"/>
      </w:rPr>
    </w:pPr>
    <w:r>
      <w:rPr>
        <w:rFonts w:ascii="Montserrat" w:hAnsi="Montserrat" w:eastAsia="Montserrat" w:cs="Montserrat"/>
        <w:sz w:val="24"/>
        <w:szCs w:val="24"/>
        <w:vertAlign w:val="subscript"/>
        <w:rtl w:val="0"/>
      </w:rPr>
      <w:t>Travessa Visconde de Abaeté, nº 200 Tamarineira/ Recife-PE-(81) 3132-5542</w:t>
    </w:r>
  </w:p>
  <w:p>
    <w:pPr>
      <w:spacing w:after="0" w:line="168" w:lineRule="auto"/>
      <w:jc w:val="center"/>
      <w:rPr>
        <w:rFonts w:ascii="Montserrat" w:hAnsi="Montserrat" w:eastAsia="Montserrat" w:cs="Montserrat"/>
        <w:sz w:val="24"/>
        <w:szCs w:val="24"/>
        <w:vertAlign w:val="subscript"/>
      </w:rPr>
    </w:pPr>
    <w:r>
      <w:rPr>
        <w:rFonts w:ascii="Montserrat" w:hAnsi="Montserrat" w:eastAsia="Montserrat" w:cs="Montserrat"/>
        <w:sz w:val="24"/>
        <w:szCs w:val="24"/>
        <w:vertAlign w:val="subscript"/>
        <w:rtl w:val="0"/>
      </w:rPr>
      <w:t xml:space="preserve"> (81)99720-0455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76" w:lineRule="auto"/>
      <w:ind w:left="0" w:right="0" w:firstLine="0"/>
      <w:jc w:val="left"/>
    </w:pPr>
  </w:p>
  <w:tbl>
    <w:tblPr>
      <w:tblStyle w:val="15"/>
      <w:tblW w:w="10479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338"/>
      <w:gridCol w:w="2025"/>
      <w:gridCol w:w="2132"/>
      <w:gridCol w:w="1198"/>
      <w:gridCol w:w="240"/>
      <w:gridCol w:w="1021"/>
      <w:gridCol w:w="1525"/>
    </w:tblGrid>
    <w:tr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vMerge w:val="restart"/>
          <w:tcBorders>
            <w:left w:val="single" w:color="000000" w:sz="4" w:space="0"/>
          </w:tcBorders>
          <w:shd w:val="clear" w:color="auto" w:fill="auto"/>
          <w:vAlign w:val="center"/>
        </w:tcPr>
        <w:p>
          <w:pPr>
            <w:spacing w:after="20"/>
            <w:jc w:val="center"/>
            <w:rPr>
              <w:rFonts w:ascii="Arial Narrow" w:hAnsi="Arial Narrow" w:eastAsia="Arial Narrow" w:cs="Arial Narrow"/>
              <w:b/>
              <w:sz w:val="20"/>
              <w:szCs w:val="20"/>
            </w:rPr>
          </w:pPr>
          <w:r>
            <w:rPr>
              <w:rFonts w:ascii="Calibri" w:hAnsi="Calibri" w:eastAsia="Calibri" w:cs="Calibri"/>
            </w:rPr>
            <w:drawing>
              <wp:inline distT="114300" distB="114300" distL="114300" distR="114300">
                <wp:extent cx="995680" cy="698500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270" cy="6985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Borders>
            <w:left w:val="single" w:color="000000" w:sz="4" w:space="0"/>
          </w:tcBorders>
          <w:shd w:val="clear" w:color="auto" w:fill="auto"/>
          <w:vAlign w:val="center"/>
        </w:tcPr>
        <w:p>
          <w:pPr>
            <w:spacing w:after="20"/>
            <w:rPr>
              <w:rFonts w:ascii="Arial Narrow" w:hAnsi="Arial Narrow" w:eastAsia="Arial Narrow" w:cs="Arial Narrow"/>
              <w:b/>
              <w:sz w:val="20"/>
              <w:szCs w:val="20"/>
            </w:rPr>
          </w:pPr>
          <w:r>
            <w:rPr>
              <w:rFonts w:ascii="Arial Narrow" w:hAnsi="Arial Narrow" w:eastAsia="Arial Narrow" w:cs="Arial Narrow"/>
              <w:b/>
              <w:sz w:val="20"/>
              <w:szCs w:val="20"/>
              <w:rtl w:val="0"/>
            </w:rPr>
            <w:t xml:space="preserve">CURSO </w:t>
          </w:r>
        </w:p>
      </w:tc>
      <w:tc>
        <w:tcPr>
          <w:gridSpan w:val="5"/>
          <w:tcBorders>
            <w:right w:val="single" w:color="000000" w:sz="4" w:space="0"/>
          </w:tcBorders>
          <w:shd w:val="clear" w:color="auto" w:fill="auto"/>
          <w:vAlign w:val="center"/>
        </w:tcPr>
        <w:p>
          <w:pPr>
            <w:spacing w:after="20"/>
            <w:rPr>
              <w:rFonts w:ascii="Arial Narrow" w:hAnsi="Arial Narrow" w:eastAsia="Arial Narrow" w:cs="Arial Narrow"/>
              <w:b/>
              <w:sz w:val="20"/>
              <w:szCs w:val="20"/>
            </w:rPr>
          </w:pPr>
          <w:r>
            <w:rPr>
              <w:rFonts w:ascii="Arial Narrow" w:hAnsi="Arial Narrow" w:eastAsia="Arial Narrow" w:cs="Arial Narrow"/>
              <w:b/>
              <w:sz w:val="20"/>
              <w:szCs w:val="20"/>
              <w:rtl w:val="0"/>
            </w:rPr>
            <w:t>Gestão de Recursos Humanos</w:t>
          </w:r>
        </w:p>
      </w:tc>
    </w:tr>
    <w:tr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vMerge w:val="continue"/>
          <w:tcBorders>
            <w:left w:val="single" w:color="000000" w:sz="4" w:space="0"/>
          </w:tcBorders>
          <w:shd w:val="clear" w:color="auto" w:fill="auto"/>
          <w:vAlign w:val="center"/>
        </w:tcPr>
        <w:p>
          <w:pPr>
            <w:keepNext w:val="0"/>
            <w:keepLines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76" w:lineRule="auto"/>
            <w:ind w:left="0" w:right="0" w:firstLine="0"/>
            <w:jc w:val="left"/>
            <w:rPr>
              <w:rFonts w:ascii="Arial Narrow" w:hAnsi="Arial Narrow" w:eastAsia="Arial Narrow" w:cs="Arial Narrow"/>
              <w:b/>
              <w:sz w:val="20"/>
              <w:szCs w:val="20"/>
            </w:rPr>
          </w:pPr>
        </w:p>
      </w:tc>
      <w:tc>
        <w:tcPr>
          <w:tcBorders>
            <w:left w:val="single" w:color="000000" w:sz="4" w:space="0"/>
          </w:tcBorders>
          <w:shd w:val="clear" w:color="auto" w:fill="auto"/>
          <w:vAlign w:val="center"/>
        </w:tcPr>
        <w:p>
          <w:pPr>
            <w:spacing w:after="20"/>
            <w:rPr>
              <w:rFonts w:ascii="Arial Narrow" w:hAnsi="Arial Narrow" w:eastAsia="Arial Narrow" w:cs="Arial Narrow"/>
              <w:b/>
              <w:sz w:val="20"/>
              <w:szCs w:val="20"/>
            </w:rPr>
          </w:pPr>
          <w:r>
            <w:rPr>
              <w:rFonts w:ascii="Arial Narrow" w:hAnsi="Arial Narrow" w:eastAsia="Arial Narrow" w:cs="Arial Narrow"/>
              <w:b/>
              <w:sz w:val="20"/>
              <w:szCs w:val="20"/>
              <w:rtl w:val="0"/>
            </w:rPr>
            <w:t>Disciplina</w:t>
          </w:r>
        </w:p>
      </w:tc>
      <w:tc>
        <w:tcPr>
          <w:gridSpan w:val="3"/>
          <w:tcBorders>
            <w:right w:val="single" w:color="000000" w:sz="4" w:space="0"/>
          </w:tcBorders>
          <w:shd w:val="clear" w:color="auto" w:fill="auto"/>
          <w:vAlign w:val="center"/>
        </w:tcPr>
        <w:p>
          <w:pPr>
            <w:spacing w:after="20"/>
            <w:rPr>
              <w:rFonts w:ascii="Arial Narrow" w:hAnsi="Arial Narrow" w:eastAsia="Arial Narrow" w:cs="Arial Narrow"/>
              <w:b/>
              <w:sz w:val="20"/>
              <w:szCs w:val="20"/>
            </w:rPr>
          </w:pPr>
          <w:r>
            <w:rPr>
              <w:rFonts w:ascii="Arial Narrow" w:hAnsi="Arial Narrow" w:eastAsia="Arial Narrow" w:cs="Arial Narrow"/>
              <w:b/>
              <w:sz w:val="20"/>
              <w:szCs w:val="20"/>
              <w:rtl w:val="0"/>
            </w:rPr>
            <w:t>Ética Profissional e da Empresa</w:t>
          </w:r>
        </w:p>
      </w:tc>
      <w:tc>
        <w:tcPr>
          <w:tcBorders>
            <w:right w:val="single" w:color="000000" w:sz="4" w:space="0"/>
          </w:tcBorders>
          <w:shd w:val="clear" w:color="auto" w:fill="auto"/>
          <w:vAlign w:val="center"/>
        </w:tcPr>
        <w:p>
          <w:pPr>
            <w:spacing w:after="20"/>
            <w:rPr>
              <w:rFonts w:ascii="Arial Narrow" w:hAnsi="Arial Narrow" w:eastAsia="Arial Narrow" w:cs="Arial Narrow"/>
              <w:b/>
              <w:sz w:val="20"/>
              <w:szCs w:val="20"/>
            </w:rPr>
          </w:pPr>
          <w:r>
            <w:rPr>
              <w:rFonts w:ascii="Arial Narrow" w:hAnsi="Arial Narrow" w:eastAsia="Arial Narrow" w:cs="Arial Narrow"/>
              <w:b/>
              <w:sz w:val="20"/>
              <w:szCs w:val="20"/>
              <w:rtl w:val="0"/>
            </w:rPr>
            <w:t>Período:</w:t>
          </w:r>
        </w:p>
      </w:tc>
      <w:tc>
        <w:tcPr>
          <w:tcBorders>
            <w:right w:val="single" w:color="000000" w:sz="4" w:space="0"/>
          </w:tcBorders>
          <w:shd w:val="clear" w:color="auto" w:fill="auto"/>
          <w:vAlign w:val="center"/>
        </w:tcPr>
        <w:p>
          <w:pPr>
            <w:spacing w:after="20"/>
            <w:rPr>
              <w:rFonts w:ascii="Arial Narrow" w:hAnsi="Arial Narrow" w:eastAsia="Arial Narrow" w:cs="Arial Narrow"/>
              <w:b/>
              <w:sz w:val="20"/>
              <w:szCs w:val="20"/>
            </w:rPr>
          </w:pPr>
          <w:r>
            <w:rPr>
              <w:rFonts w:ascii="Arial Narrow" w:hAnsi="Arial Narrow" w:eastAsia="Arial Narrow" w:cs="Arial Narrow"/>
              <w:sz w:val="20"/>
              <w:szCs w:val="20"/>
              <w:rtl w:val="0"/>
            </w:rPr>
            <w:t>2º Período</w:t>
          </w:r>
        </w:p>
      </w:tc>
    </w:tr>
    <w:tr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vMerge w:val="continue"/>
          <w:tcBorders>
            <w:left w:val="single" w:color="000000" w:sz="4" w:space="0"/>
          </w:tcBorders>
          <w:shd w:val="clear" w:color="auto" w:fill="auto"/>
          <w:vAlign w:val="center"/>
        </w:tcPr>
        <w:p>
          <w:pPr>
            <w:keepNext w:val="0"/>
            <w:keepLines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76" w:lineRule="auto"/>
            <w:ind w:left="0" w:right="0" w:firstLine="0"/>
            <w:jc w:val="left"/>
            <w:rPr>
              <w:rFonts w:ascii="Arial Narrow" w:hAnsi="Arial Narrow" w:eastAsia="Arial Narrow" w:cs="Arial Narrow"/>
              <w:b/>
              <w:sz w:val="20"/>
              <w:szCs w:val="20"/>
            </w:rPr>
          </w:pPr>
        </w:p>
      </w:tc>
      <w:tc>
        <w:tcPr>
          <w:tcBorders>
            <w:left w:val="single" w:color="000000" w:sz="4" w:space="0"/>
          </w:tcBorders>
          <w:shd w:val="clear" w:color="auto" w:fill="auto"/>
          <w:vAlign w:val="center"/>
        </w:tcPr>
        <w:p>
          <w:pPr>
            <w:spacing w:after="20"/>
            <w:rPr>
              <w:rFonts w:ascii="Arial Narrow" w:hAnsi="Arial Narrow" w:eastAsia="Arial Narrow" w:cs="Arial Narrow"/>
              <w:b/>
              <w:sz w:val="20"/>
              <w:szCs w:val="20"/>
            </w:rPr>
          </w:pPr>
          <w:r>
            <w:rPr>
              <w:rFonts w:ascii="Arial Narrow" w:hAnsi="Arial Narrow" w:eastAsia="Arial Narrow" w:cs="Arial Narrow"/>
              <w:b/>
              <w:sz w:val="20"/>
              <w:szCs w:val="20"/>
              <w:rtl w:val="0"/>
            </w:rPr>
            <w:t>Professor(a):</w:t>
          </w:r>
        </w:p>
      </w:tc>
      <w:tc>
        <w:tcPr>
          <w:gridSpan w:val="4"/>
          <w:tcBorders>
            <w:right w:val="single" w:color="000000" w:sz="4" w:space="0"/>
          </w:tcBorders>
          <w:shd w:val="clear" w:color="auto" w:fill="auto"/>
          <w:vAlign w:val="center"/>
        </w:tcPr>
        <w:p>
          <w:pPr>
            <w:spacing w:after="20"/>
            <w:rPr>
              <w:rFonts w:ascii="Arial Narrow" w:hAnsi="Arial Narrow" w:eastAsia="Arial Narrow" w:cs="Arial Narrow"/>
              <w:b/>
              <w:sz w:val="20"/>
              <w:szCs w:val="20"/>
            </w:rPr>
          </w:pPr>
          <w:r>
            <w:rPr>
              <w:rFonts w:ascii="Arial Narrow" w:hAnsi="Arial Narrow" w:eastAsia="Arial Narrow" w:cs="Arial Narrow"/>
              <w:b/>
              <w:sz w:val="20"/>
              <w:szCs w:val="20"/>
              <w:rtl w:val="0"/>
            </w:rPr>
            <w:t>Jonas Santana Cavalcanti</w:t>
          </w:r>
        </w:p>
      </w:tc>
      <w:tc>
        <w:tcPr>
          <w:tcBorders>
            <w:right w:val="single" w:color="000000" w:sz="4" w:space="0"/>
          </w:tcBorders>
          <w:shd w:val="clear" w:color="auto" w:fill="auto"/>
          <w:vAlign w:val="center"/>
        </w:tcPr>
        <w:p>
          <w:pPr>
            <w:spacing w:after="20"/>
            <w:jc w:val="both"/>
            <w:rPr>
              <w:rFonts w:ascii="Arial Narrow" w:hAnsi="Arial Narrow" w:eastAsia="Arial Narrow" w:cs="Arial Narrow"/>
              <w:b/>
              <w:sz w:val="20"/>
              <w:szCs w:val="20"/>
            </w:rPr>
          </w:pPr>
          <w:r>
            <w:rPr>
              <w:rFonts w:ascii="Arial Narrow" w:hAnsi="Arial Narrow" w:eastAsia="Arial Narrow" w:cs="Arial Narrow"/>
              <w:b/>
              <w:sz w:val="20"/>
              <w:szCs w:val="20"/>
              <w:rtl w:val="0"/>
            </w:rPr>
            <w:t>QUARTA</w:t>
          </w:r>
        </w:p>
      </w:tc>
    </w:tr>
    <w:tr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vMerge w:val="continue"/>
          <w:tcBorders>
            <w:left w:val="single" w:color="000000" w:sz="4" w:space="0"/>
          </w:tcBorders>
          <w:shd w:val="clear" w:color="auto" w:fill="auto"/>
          <w:vAlign w:val="center"/>
        </w:tcPr>
        <w:p>
          <w:pPr>
            <w:keepNext w:val="0"/>
            <w:keepLines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76" w:lineRule="auto"/>
            <w:ind w:left="0" w:right="0" w:firstLine="0"/>
            <w:jc w:val="left"/>
            <w:rPr>
              <w:rFonts w:ascii="Arial Narrow" w:hAnsi="Arial Narrow" w:eastAsia="Arial Narrow" w:cs="Arial Narrow"/>
              <w:b/>
              <w:sz w:val="20"/>
              <w:szCs w:val="20"/>
            </w:rPr>
          </w:pPr>
        </w:p>
      </w:tc>
      <w:tc>
        <w:tcPr>
          <w:tcBorders>
            <w:left w:val="single" w:color="000000" w:sz="4" w:space="0"/>
          </w:tcBorders>
          <w:shd w:val="clear" w:color="auto" w:fill="auto"/>
          <w:vAlign w:val="center"/>
        </w:tcPr>
        <w:p>
          <w:pPr>
            <w:spacing w:after="20"/>
            <w:rPr>
              <w:rFonts w:ascii="Arial Narrow" w:hAnsi="Arial Narrow" w:eastAsia="Arial Narrow" w:cs="Arial Narrow"/>
              <w:b/>
              <w:sz w:val="20"/>
              <w:szCs w:val="20"/>
            </w:rPr>
          </w:pPr>
          <w:r>
            <w:rPr>
              <w:rFonts w:ascii="Arial Narrow" w:hAnsi="Arial Narrow" w:eastAsia="Arial Narrow" w:cs="Arial Narrow"/>
              <w:b/>
              <w:sz w:val="20"/>
              <w:szCs w:val="20"/>
              <w:rtl w:val="0"/>
            </w:rPr>
            <w:t>Carga horária:</w:t>
          </w:r>
        </w:p>
      </w:tc>
      <w:tc>
        <w:tcPr>
          <w:shd w:val="clear" w:color="auto" w:fill="auto"/>
          <w:vAlign w:val="center"/>
        </w:tcPr>
        <w:p>
          <w:pPr>
            <w:spacing w:after="20"/>
            <w:ind w:right="-103"/>
            <w:rPr>
              <w:rFonts w:ascii="Arial Narrow" w:hAnsi="Arial Narrow" w:eastAsia="Arial Narrow" w:cs="Arial Narrow"/>
              <w:sz w:val="20"/>
              <w:szCs w:val="20"/>
            </w:rPr>
          </w:pPr>
          <w:r>
            <w:rPr>
              <w:rFonts w:ascii="Arial Narrow" w:hAnsi="Arial Narrow" w:eastAsia="Arial Narrow" w:cs="Arial Narrow"/>
              <w:sz w:val="20"/>
              <w:szCs w:val="20"/>
              <w:rtl w:val="0"/>
            </w:rPr>
            <w:t>60 hora</w:t>
          </w:r>
        </w:p>
      </w:tc>
      <w:tc>
        <w:tcPr>
          <w:shd w:val="clear" w:color="auto" w:fill="auto"/>
          <w:vAlign w:val="center"/>
        </w:tcPr>
        <w:p>
          <w:pPr>
            <w:spacing w:after="20"/>
            <w:ind w:left="-112" w:right="-103" w:firstLine="0"/>
            <w:jc w:val="center"/>
            <w:rPr>
              <w:rFonts w:ascii="Arial Narrow" w:hAnsi="Arial Narrow" w:eastAsia="Arial Narrow" w:cs="Arial Narrow"/>
              <w:sz w:val="20"/>
              <w:szCs w:val="20"/>
            </w:rPr>
          </w:pPr>
          <w:r>
            <w:rPr>
              <w:rFonts w:ascii="Arial Narrow" w:hAnsi="Arial Narrow" w:eastAsia="Arial Narrow" w:cs="Arial Narrow"/>
              <w:b/>
              <w:sz w:val="20"/>
              <w:szCs w:val="20"/>
              <w:rtl w:val="0"/>
            </w:rPr>
            <w:t>Turma:</w:t>
          </w:r>
        </w:p>
      </w:tc>
      <w:tc>
        <w:tcPr>
          <w:gridSpan w:val="3"/>
          <w:tcBorders>
            <w:right w:val="single" w:color="000000" w:sz="4" w:space="0"/>
          </w:tcBorders>
          <w:shd w:val="clear" w:color="auto" w:fill="auto"/>
          <w:vAlign w:val="center"/>
        </w:tcPr>
        <w:p>
          <w:pPr>
            <w:spacing w:after="20"/>
            <w:rPr>
              <w:rFonts w:ascii="Arial Narrow" w:hAnsi="Arial Narrow" w:eastAsia="Arial Narrow" w:cs="Arial Narrow"/>
              <w:sz w:val="20"/>
              <w:szCs w:val="20"/>
            </w:rPr>
          </w:pPr>
          <w:r>
            <w:rPr>
              <w:rFonts w:ascii="Arial Narrow" w:hAnsi="Arial Narrow" w:eastAsia="Arial Narrow" w:cs="Arial Narrow"/>
              <w:sz w:val="20"/>
              <w:szCs w:val="20"/>
              <w:rtl w:val="0"/>
            </w:rPr>
            <w:t>GRH1</w:t>
          </w:r>
        </w:p>
      </w:tc>
    </w:tr>
  </w:tbl>
  <w:p>
    <w:pPr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ahoma" w:hAnsi="Tahoma" w:eastAsia="Tahoma" w:cs="Tahoma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283" w:hanging="141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>
    <w:nsid w:val="CF092B84"/>
    <w:multiLevelType w:val="multilevel"/>
    <w:tmpl w:val="CF092B84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5">
    <w:nsid w:val="0248C179"/>
    <w:multiLevelType w:val="multilevel"/>
    <w:tmpl w:val="0248C179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6">
    <w:nsid w:val="03D62ECE"/>
    <w:multiLevelType w:val="multilevel"/>
    <w:tmpl w:val="03D62ECE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7">
    <w:nsid w:val="25B654F3"/>
    <w:multiLevelType w:val="multilevel"/>
    <w:tmpl w:val="25B654F3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8">
    <w:nsid w:val="2A8F537B"/>
    <w:multiLevelType w:val="multilevel"/>
    <w:tmpl w:val="2A8F537B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9">
    <w:nsid w:val="59ADCABA"/>
    <w:multiLevelType w:val="multilevel"/>
    <w:tmpl w:val="59ADCABA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0">
    <w:nsid w:val="72183CF9"/>
    <w:multiLevelType w:val="multilevel"/>
    <w:tmpl w:val="72183CF9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footnotePr>
    <w:footnote w:id="0"/>
    <w:footnote w:id="1"/>
  </w:footnotePr>
  <w:compat>
    <w:compatSetting w:name="compatibilityMode" w:uri="http://schemas.microsoft.com/office/word" w:val="15"/>
  </w:compat>
  <w:rsids>
    <w:rsidRoot w:val="00000000"/>
    <w:rsid w:val="28E977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ahoma" w:hAnsi="Tahoma" w:eastAsia="Tahoma" w:cs="Tahoma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after="80"/>
    </w:pPr>
    <w:rPr>
      <w:rFonts w:ascii="Tahoma" w:hAnsi="Tahoma" w:eastAsia="Tahoma" w:cs="Tahoma"/>
      <w:sz w:val="22"/>
      <w:szCs w:val="22"/>
      <w:lang w:val="pt-BR"/>
    </w:rPr>
  </w:style>
  <w:style w:type="paragraph" w:styleId="2">
    <w:name w:val="heading 1"/>
    <w:basedOn w:val="1"/>
    <w:next w:val="1"/>
    <w:uiPriority w:val="0"/>
    <w:pPr>
      <w:spacing w:after="0"/>
    </w:pPr>
  </w:style>
  <w:style w:type="paragraph" w:styleId="3">
    <w:name w:val="heading 2"/>
    <w:basedOn w:val="1"/>
    <w:next w:val="1"/>
    <w:uiPriority w:val="0"/>
    <w:pPr>
      <w:keepNext/>
      <w:keepLines/>
      <w:spacing w:before="40" w:after="0"/>
    </w:pPr>
  </w:style>
  <w:style w:type="paragraph" w:styleId="4">
    <w:name w:val="heading 3"/>
    <w:basedOn w:val="1"/>
    <w:next w:val="1"/>
    <w:uiPriority w:val="0"/>
    <w:pPr>
      <w:keepNext/>
      <w:keepLines/>
      <w:spacing w:before="40" w:after="0"/>
    </w:pPr>
    <w:rPr>
      <w:color w:val="32525C"/>
      <w:sz w:val="24"/>
      <w:szCs w:val="24"/>
    </w:rPr>
  </w:style>
  <w:style w:type="paragraph" w:styleId="5">
    <w:name w:val="heading 4"/>
    <w:basedOn w:val="1"/>
    <w:next w:val="1"/>
    <w:uiPriority w:val="0"/>
    <w:pPr>
      <w:keepNext/>
      <w:keepLines/>
      <w:spacing w:before="40" w:after="0"/>
    </w:pPr>
    <w:rPr>
      <w:i/>
      <w:color w:val="4B7B8A"/>
    </w:rPr>
  </w:style>
  <w:style w:type="paragraph" w:styleId="6">
    <w:name w:val="heading 5"/>
    <w:basedOn w:val="1"/>
    <w:next w:val="1"/>
    <w:uiPriority w:val="0"/>
    <w:pPr>
      <w:keepNext/>
      <w:keepLines/>
      <w:spacing w:before="40" w:after="0"/>
    </w:pPr>
    <w:rPr>
      <w:color w:val="4B7B8A"/>
    </w:rPr>
  </w:style>
  <w:style w:type="paragraph" w:styleId="7">
    <w:name w:val="heading 6"/>
    <w:basedOn w:val="1"/>
    <w:next w:val="1"/>
    <w:uiPriority w:val="0"/>
    <w:pPr>
      <w:keepNext/>
      <w:keepLines/>
      <w:spacing w:before="40" w:after="0"/>
    </w:pPr>
    <w:rPr>
      <w:color w:val="32525C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spacing w:before="200" w:after="1280"/>
      <w:jc w:val="center"/>
    </w:pPr>
    <w:rPr>
      <w:b/>
      <w:smallCaps/>
      <w:color w:val="404040"/>
      <w:sz w:val="44"/>
      <w:szCs w:val="44"/>
    </w:rPr>
  </w:style>
  <w:style w:type="paragraph" w:styleId="11">
    <w:name w:val="Subtitle"/>
    <w:basedOn w:val="1"/>
    <w:next w:val="1"/>
    <w:qFormat/>
    <w:uiPriority w:val="0"/>
    <w:pPr>
      <w:spacing w:after="160"/>
    </w:pPr>
    <w:rPr>
      <w:color w:val="5A5A5A"/>
    </w:rPr>
  </w:style>
  <w:style w:type="table" w:customStyle="1" w:styleId="12">
    <w:name w:val="Table Normal"/>
    <w:qFormat/>
    <w:uiPriority w:val="0"/>
  </w:style>
  <w:style w:type="table" w:customStyle="1" w:styleId="13">
    <w:name w:val="_Style 10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_Style 11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_Style 12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_Style 13"/>
    <w:basedOn w:val="12"/>
    <w:uiPriority w:val="0"/>
    <w:rPr>
      <w:b/>
      <w:color w:val="5D626A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7E848D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Office_11.2.0.10078_F1E327BC-269C-435d-A152-05C5408002CA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2021-04-13T22:52:27Z</dcterms:created>
  <dc:creator>usuario</dc:creator>
  <cp:lastModifiedBy>usuario</cp:lastModifiedBy>
  <dcterms:modified xsi:type="dcterms:W3CDTF">2021-04-13T22:53:10Z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1046-11.2.0.10078</vt:lpwstr>
  </property>
</Properties>
</file>