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58" w:rsidRPr="00DF08CC" w:rsidRDefault="006D5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 w:rsidRPr="00DF08CC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589B96" wp14:editId="185591A7">
                <wp:simplePos x="0" y="0"/>
                <wp:positionH relativeFrom="column">
                  <wp:posOffset>5634990</wp:posOffset>
                </wp:positionH>
                <wp:positionV relativeFrom="paragraph">
                  <wp:posOffset>-379095</wp:posOffset>
                </wp:positionV>
                <wp:extent cx="261786" cy="278296"/>
                <wp:effectExtent l="0" t="0" r="5080" b="762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86" cy="2782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5AF717" id="Elipse 6" o:spid="_x0000_s1026" style="position:absolute;margin-left:443.7pt;margin-top:-29.85pt;width:20.6pt;height:2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IYkQIAAIMFAAAOAAAAZHJzL2Uyb0RvYy54bWysVN9P2zAQfp+0/8Hy+0hTQYGKFFUwpkkI&#10;qsHEs+vYjSXH59lu0+6v39lOUsbQHqb1wfX5vvvuR+7u6nrfarITziswFS1PJpQIw6FWZlPR7893&#10;ny4o8YGZmmkwoqIH4en14uOHq87OxRQa0LVwBEmMn3e2ok0Idl4UnjeiZf4ErDColOBaFlB0m6J2&#10;rEP2VhfTyWRWdOBq64AL7/H1NivpIvFLKXh4lNKLQHRFMbaQTpfOdTyLxRWbbxyzjeJ9GOwfomiZ&#10;Muh0pLplgZGtU39QtYo78CDDCYe2ACkVFykHzKacvMnmqWFWpFywON6OZfL/j5Y/7FaOqLqiM0oM&#10;a/ETfdbKekFmsTad9XOEPNmV6yWP15joXro2/mMKZJ/qeRjrKfaBcHyczsrzC+TlqJqeX0wvE2dx&#10;NLbOhy8CWhIvFRU6uU6FZLt7H9AnogdUdOdBq/pOaZ2E2CXiRjuyY/h915syxowWv6G0iVgD0Sqr&#10;40sRU8vJpFs4aBFx2nwTEgsSw0+BpFY8OmGcCxPKrGpYLbLvswn+Bu9DWCmWRBiZJfofuXuCAZlJ&#10;Bu4cZY+PpiJ18mg8+Vtg2Xi0SJ7BhNG4VQbcewQas+o9Z/xQpFyaWKU11AdsFwd5jrzldwq/3D3z&#10;YcUcDg6OGC6D8IiH1NBVFPobJQ24n++9Rzz2M2op6XAQK+p/bJkTlOivBjv9sjw9jZObhNOz8ykK&#10;7rVm/Vpjtu0NYC+UuHYsT9eID3q4SgftC+6MZfSKKmY4+q4oD24QbkJeELh1uFguEwyn1bJwb54s&#10;j+SxqrEtn/cvzNm+fQP2/QMMQ8vmb1o4Y6OlgeU2gFSpv4917euNk54ap99KcZW8lhPquDsXvwAA&#10;AP//AwBQSwMEFAAGAAgAAAAhAFNv8/3kAAAACwEAAA8AAABkcnMvZG93bnJldi54bWxMj8tOwzAQ&#10;RfdI/IM1SOxapy1pkxCnQrw2hVYEJMTOjU0SNR5Httukf8+wguXMHN05N1+PpmMn7XxrUcBsGgHT&#10;WFnVYi3g4/1pkgDzQaKSnUUt4Kw9rIvLi1xmyg74pk9lqBmFoM+kgCaEPuPcV4020k9tr5Fu39YZ&#10;GWh0NVdODhRuOj6PoiU3skX60Mhe3ze6OpRHI+Dlc3tYuPj5Yff6uBnKaBG35eZLiOur8e4WWNBj&#10;+IPhV5/UoSCnvT2i8qwTkCSrG0IFTOJ0BYyIdJ4sge1pM4tT4EXO/3cofgAAAP//AwBQSwECLQAU&#10;AAYACAAAACEAtoM4kv4AAADhAQAAEwAAAAAAAAAAAAAAAAAAAAAAW0NvbnRlbnRfVHlwZXNdLnht&#10;bFBLAQItABQABgAIAAAAIQA4/SH/1gAAAJQBAAALAAAAAAAAAAAAAAAAAC8BAABfcmVscy8ucmVs&#10;c1BLAQItABQABgAIAAAAIQAPZ2IYkQIAAIMFAAAOAAAAAAAAAAAAAAAAAC4CAABkcnMvZTJvRG9j&#10;LnhtbFBLAQItABQABgAIAAAAIQBTb/P95AAAAAsBAAAPAAAAAAAAAAAAAAAAAOsEAABkcnMvZG93&#10;bnJldi54bWxQSwUGAAAAAAQABADzAAAA/AUAAAAA&#10;" fillcolor="white [3212]" stroked="f" strokeweight="1pt">
                <v:stroke joinstyle="miter"/>
              </v:oval>
            </w:pict>
          </mc:Fallback>
        </mc:AlternateContent>
      </w:r>
    </w:p>
    <w:tbl>
      <w:tblPr>
        <w:tblStyle w:val="a"/>
        <w:tblW w:w="9921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3336"/>
        <w:gridCol w:w="6585"/>
      </w:tblGrid>
      <w:tr w:rsidR="00DF08CC" w:rsidRPr="00DF08CC">
        <w:trPr>
          <w:trHeight w:val="1260"/>
        </w:trPr>
        <w:tc>
          <w:tcPr>
            <w:tcW w:w="3336" w:type="dxa"/>
            <w:tcBorders>
              <w:bottom w:val="single" w:sz="2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AD3E58" w:rsidRPr="00DF08CC" w:rsidRDefault="001E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8CC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0AAF2AD8" wp14:editId="7D0B57D6">
                  <wp:extent cx="1575955" cy="742950"/>
                  <wp:effectExtent l="0" t="0" r="0" b="0"/>
                  <wp:docPr id="7" name="image1.png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G_256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955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tcBorders>
              <w:bottom w:val="single" w:sz="2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AD3E58" w:rsidRPr="00DF08CC" w:rsidRDefault="001E0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F08CC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SECRETARIA MUNICIPAL DE EDUCAÇÃO</w:t>
            </w:r>
          </w:p>
          <w:p w:rsidR="00AD3E58" w:rsidRPr="00DF08CC" w:rsidRDefault="001E0639" w:rsidP="00BA0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DF08CC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COORDENAÇÃO DE EDUCAÇÃO ESPECIAL </w:t>
            </w:r>
            <w:r w:rsidR="00BA0FDA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-</w:t>
            </w:r>
            <w:r w:rsidRPr="00DF08CC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 CEE </w:t>
            </w:r>
          </w:p>
        </w:tc>
      </w:tr>
    </w:tbl>
    <w:p w:rsidR="00AD3E58" w:rsidRPr="00DF08CC" w:rsidRDefault="00AD3E58">
      <w:pPr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AD3E58" w:rsidRPr="00DF08CC" w:rsidRDefault="001E0639">
      <w:pPr>
        <w:jc w:val="center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PLANO DE DESENVOLVIMENTO INDIVIDUAL ESCOLAR</w:t>
      </w:r>
      <w:r w:rsidR="00BA0FDA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-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PDIE</w:t>
      </w:r>
      <w:r w:rsidRPr="00DF08CC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: UM INSTRUMENTO EM CONSTRUÇÃO NA REDE PÚBLICA MUNICIPAL DE ENSINO DO JABOATÃO DOS GUARARAPES</w:t>
      </w:r>
    </w:p>
    <w:p w:rsidR="00AD3E58" w:rsidRDefault="001E0639" w:rsidP="00270C0F">
      <w:pPr>
        <w:jc w:val="right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Ednea Rodrigues </w:t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CEE</w:t>
      </w:r>
    </w:p>
    <w:p w:rsidR="00C97BD6" w:rsidRDefault="00C97BD6" w:rsidP="00C97BD6">
      <w:pPr>
        <w:jc w:val="right"/>
        <w:textAlignment w:val="center"/>
        <w:rPr>
          <w:rFonts w:ascii="Times New Roman" w:hAnsi="Times New Roman"/>
          <w:color w:val="000000" w:themeColor="text1"/>
          <w:sz w:val="24"/>
          <w:szCs w:val="24"/>
          <w:lang w:val="pt-BR" w:bidi="a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bidi="ar"/>
        </w:rPr>
        <w:t>Eurides Bomfim -</w:t>
      </w:r>
      <w:r>
        <w:rPr>
          <w:rFonts w:ascii="Times New Roman" w:hAnsi="Times New Roman"/>
          <w:color w:val="000000" w:themeColor="text1"/>
          <w:sz w:val="24"/>
          <w:szCs w:val="24"/>
          <w:lang w:val="pt-BR" w:bidi="ar"/>
        </w:rPr>
        <w:t xml:space="preserve"> CEE</w:t>
      </w:r>
    </w:p>
    <w:p w:rsidR="00C97BD6" w:rsidRDefault="00C97BD6" w:rsidP="00C97BD6">
      <w:pPr>
        <w:jc w:val="right"/>
        <w:textAlignment w:val="center"/>
        <w:rPr>
          <w:rFonts w:ascii="Times New Roman" w:hAnsi="Times New Roman"/>
          <w:color w:val="000000" w:themeColor="text1"/>
          <w:sz w:val="24"/>
          <w:szCs w:val="24"/>
          <w:lang w:val="pt-BR" w:bidi="ar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pt-BR" w:bidi="ar"/>
        </w:rPr>
        <w:t>Nayana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pt-BR" w:bidi="ar"/>
        </w:rPr>
        <w:t xml:space="preserve"> Pedrosa </w:t>
      </w:r>
      <w:r>
        <w:rPr>
          <w:rFonts w:ascii="Times New Roman" w:hAnsi="Times New Roman"/>
          <w:color w:val="000000" w:themeColor="text1"/>
          <w:sz w:val="24"/>
          <w:szCs w:val="24"/>
          <w:lang w:val="pt-BR" w:bidi="ar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pt-BR" w:bidi="ar"/>
        </w:rPr>
        <w:t xml:space="preserve">  CEE</w:t>
      </w:r>
    </w:p>
    <w:p w:rsidR="00270C0F" w:rsidRDefault="00270C0F" w:rsidP="00270C0F">
      <w:pPr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I. Introdução</w:t>
      </w:r>
    </w:p>
    <w:p w:rsidR="00757947" w:rsidRPr="00DF08CC" w:rsidRDefault="00757947" w:rsidP="00270C0F">
      <w:pPr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DA0B51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Neste artigo, trataremos especificamente da elaboração do Plano de Desenvolvimento Individual Escolar </w:t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PDIE </w:t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="001D1538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para estudantes com deficiência,</w:t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t xml:space="preserve"> Transtorno do Espectro Autista-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TEA e Altas Habilidades/Superdotação, matriculados na Rede Municipal de Ensino do Jaboatão dos Guararapes, para o Atendimento Educacional Especializado </w:t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softHyphen/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softHyphen/>
        <w:t>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AEE realizado na Sala de Recursos Mu</w:t>
      </w:r>
      <w:r w:rsidR="00D90050">
        <w:rPr>
          <w:rFonts w:ascii="Times New Roman" w:eastAsia="Times New Roman" w:hAnsi="Times New Roman"/>
          <w:sz w:val="24"/>
          <w:szCs w:val="24"/>
          <w:lang w:val="pt-BR"/>
        </w:rPr>
        <w:t>ltifuncionais – SRM, r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ecuperando a construção do roteiro que direciona a elaboração do Estudo de Caso </w:t>
      </w:r>
      <w:r w:rsidR="00D90050">
        <w:rPr>
          <w:rFonts w:ascii="Times New Roman" w:eastAsia="Times New Roman" w:hAnsi="Times New Roman"/>
          <w:sz w:val="24"/>
          <w:szCs w:val="24"/>
          <w:lang w:val="pt-BR"/>
        </w:rPr>
        <w:t>com base n</w:t>
      </w:r>
      <w:r w:rsidR="00D90050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as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quatro questões </w:t>
      </w:r>
      <w:r w:rsidR="00270C0F" w:rsidRPr="00DF08CC">
        <w:rPr>
          <w:rFonts w:ascii="Times New Roman" w:eastAsia="Times New Roman" w:hAnsi="Times New Roman"/>
          <w:sz w:val="24"/>
          <w:szCs w:val="24"/>
          <w:lang w:val="pt-BR"/>
        </w:rPr>
        <w:t>fundamentai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s: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</w:p>
    <w:p w:rsidR="00DA0B51" w:rsidRPr="00DF08CC" w:rsidRDefault="00DA0B51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1. 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informações referentes ao estudante; </w:t>
      </w:r>
    </w:p>
    <w:p w:rsidR="00DA0B51" w:rsidRPr="00DF08CC" w:rsidRDefault="00DA0B51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2. 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informações coletadas do/sobre o estudante; </w:t>
      </w:r>
    </w:p>
    <w:p w:rsidR="00DA0B51" w:rsidRPr="00DF08CC" w:rsidRDefault="00DA0B51" w:rsidP="00DA0B51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3. 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informações coletadas da/sobre a unidade educacional; </w:t>
      </w:r>
    </w:p>
    <w:p w:rsidR="00DA0B51" w:rsidRPr="00DF08CC" w:rsidRDefault="00DA0B51" w:rsidP="00DA0B51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4. 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informações coletadas da/sobre a família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e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das 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dimensões da acessibilidade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, tais como: atitudinal, arquitetônica, metodológica, comunicacio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nal, instrumental, programática.</w:t>
      </w:r>
    </w:p>
    <w:p w:rsidR="00AD3E58" w:rsidRPr="00DF08CC" w:rsidRDefault="00DA0B51" w:rsidP="00DA0B51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A partir do acesso a tais informações,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consideramos estar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em os sujeitos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instrumentalizados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para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9874AE">
        <w:rPr>
          <w:rFonts w:ascii="Times New Roman" w:eastAsia="Times New Roman" w:hAnsi="Times New Roman"/>
          <w:sz w:val="24"/>
          <w:szCs w:val="24"/>
          <w:lang w:val="pt-BR"/>
        </w:rPr>
        <w:t xml:space="preserve">construir um plano de desenvolvimento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individual</w:t>
      </w:r>
      <w:bookmarkStart w:id="0" w:name="_GoBack"/>
      <w:bookmarkEnd w:id="0"/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pertinente às peculiaridades dos estudantes. </w:t>
      </w:r>
    </w:p>
    <w:p w:rsidR="00AD3E58" w:rsidRPr="00DF08CC" w:rsidRDefault="001E0639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ab/>
        <w:t xml:space="preserve">Depois de todas as evidências emergidas, é preciso refletir que a história de vida do estudante não deve inspirar mecanismos que sejam usados contra ele mesmo, pois </w:t>
      </w:r>
      <w:r w:rsidR="00A26C2B" w:rsidRPr="00DF08CC">
        <w:rPr>
          <w:rFonts w:ascii="Times New Roman" w:eastAsia="Times New Roman" w:hAnsi="Times New Roman"/>
          <w:sz w:val="24"/>
          <w:szCs w:val="24"/>
          <w:lang w:val="pt-BR"/>
        </w:rPr>
        <w:t>sua história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não é uma fatalidade, nem é irreversível.  É o momento de refletir sobre: o que foi constatado? O que precisa ser feito? Como vai ser feito? </w:t>
      </w:r>
      <w:r w:rsidR="00F518FB" w:rsidRPr="00DF08CC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om</w:t>
      </w:r>
      <w:r w:rsidR="001B63C3" w:rsidRPr="00DF08CC">
        <w:rPr>
          <w:rFonts w:ascii="Times New Roman" w:eastAsia="Times New Roman" w:hAnsi="Times New Roman"/>
          <w:sz w:val="24"/>
          <w:szCs w:val="24"/>
          <w:lang w:val="pt-BR"/>
        </w:rPr>
        <w:t>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cada setor irá se responsabilizar? Como cada um fará seu papel?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Nessa perspectiva, através das propositivas pedagógicas, da reflexão, </w:t>
      </w:r>
      <w:r w:rsidR="00F518FB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da observação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da mudança ou não do comportamento, do refazer das ações, considere-se que o próprio PDIE é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lastRenderedPageBreak/>
        <w:t>um processo</w:t>
      </w:r>
      <w:r w:rsidR="006D70F3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e apresenta um ponto de partida (o su</w:t>
      </w:r>
      <w:r w:rsidR="00F518FB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jeito) e, principalmente, deve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ter um ponto de chegada (a aprendizagem).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Reaf</w:t>
      </w:r>
      <w:r w:rsidR="00853FCB" w:rsidRPr="00DF08CC">
        <w:rPr>
          <w:rFonts w:ascii="Times New Roman" w:eastAsia="Times New Roman" w:hAnsi="Times New Roman"/>
          <w:sz w:val="24"/>
          <w:szCs w:val="24"/>
          <w:lang w:val="pt-BR"/>
        </w:rPr>
        <w:t>irmamos, também, que o PDIE na Rede Municipal de 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nsino do Jaboatão dos Guararapes, na atual gestão governamental, passa a ser entendido como uma proposta fundamental para responder às necessidades dos estudantes matriculados na SRM, e tamb</w:t>
      </w:r>
      <w:r w:rsidR="00F518FB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ém de outros estudantes que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foram estigmatizados no contexto escolar por suas diferenças.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Este texto, portanto, é mais um instrumento que pretende contribuir para nortear a elaboração do Plano de Desenvolvimento Individual Escolar </w:t>
      </w:r>
      <w:r w:rsidR="00DC2111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PDIE, explicando as etapas estruturadas no corpo do documento através das orientações de Albuquerque</w:t>
      </w:r>
      <w:r w:rsidRPr="00DF08CC">
        <w:rPr>
          <w:rFonts w:ascii="Times New Roman" w:eastAsia="Times New Roman" w:hAnsi="Times New Roman"/>
          <w:sz w:val="24"/>
          <w:szCs w:val="24"/>
          <w:vertAlign w:val="superscript"/>
        </w:rPr>
        <w:footnoteReference w:id="2"/>
      </w:r>
      <w:r w:rsidR="00693721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(2019) e instituídas na Rede de 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nsino para os professores do AEE em 2018, através dos momentos de formação continuada e dos acompanhamento</w:t>
      </w:r>
      <w:r w:rsidR="00693721" w:rsidRPr="00DF08CC">
        <w:rPr>
          <w:rFonts w:ascii="Times New Roman" w:eastAsia="Times New Roman" w:hAnsi="Times New Roman"/>
          <w:sz w:val="24"/>
          <w:szCs w:val="24"/>
          <w:lang w:val="pt-BR"/>
        </w:rPr>
        <w:t>s pedagógicos realizados pelas C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oordenadoras </w:t>
      </w:r>
      <w:r w:rsidR="00270C0F" w:rsidRPr="00DF08CC">
        <w:rPr>
          <w:rFonts w:ascii="Times New Roman" w:eastAsia="Times New Roman" w:hAnsi="Times New Roman"/>
          <w:sz w:val="24"/>
          <w:szCs w:val="24"/>
          <w:lang w:val="pt-BR"/>
        </w:rPr>
        <w:t>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ducacionais do Núcleo de Educação Especial na</w:t>
      </w:r>
      <w:r w:rsidR="00270C0F" w:rsidRPr="00DF08CC">
        <w:rPr>
          <w:rFonts w:ascii="Times New Roman" w:eastAsia="Times New Roman" w:hAnsi="Times New Roman"/>
          <w:sz w:val="24"/>
          <w:szCs w:val="24"/>
          <w:lang w:val="pt-BR"/>
        </w:rPr>
        <w:t>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Unidades de Ensino.</w:t>
      </w:r>
    </w:p>
    <w:p w:rsidR="00270C0F" w:rsidRPr="00DF08CC" w:rsidRDefault="00270C0F" w:rsidP="00270C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AD3E58" w:rsidRPr="00DF08CC" w:rsidRDefault="00270C0F" w:rsidP="00270C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II.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Plano de Desenvolvimento Individual Escolar</w:t>
      </w:r>
      <w:r w:rsidR="000344F3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-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PDIE e as Dimensões de Acessibilidade</w:t>
      </w:r>
    </w:p>
    <w:p w:rsidR="00AD3E58" w:rsidRPr="00DF08CC" w:rsidRDefault="00AD3E58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O direito do estudante com deficiência</w:t>
      </w:r>
      <w:r w:rsidR="00270C0F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, TEA,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superdotação/altas habilidades à educação, ao plano de atendimento educacional especializado, de organização de recursos, serviços de acessibilidade e de disponibilidade e usabilidade pedagógica de recursos de tecnologia assistiva está legalmente amparado na Lei Brasileira de Inclusão </w:t>
      </w:r>
      <w:r w:rsidR="000344F3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LBI (2015) e em outros marcos legais que instituem as diretrizes para a Política da Educação Especial na Perspectiva Inclusiva.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Dessa forma, o Sistema Municipal de Ensino, através da Secretaria</w:t>
      </w:r>
      <w:r w:rsidR="00270C0F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Municipal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de Educação, Coordenação de Educação Especial, busca garantir no AEE a elaboração e a execução do Plano de Desenvolvimento Individual Escolar </w:t>
      </w:r>
      <w:r w:rsidR="00DC2111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PDIE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para cada estudante, ampliando o roteiro sugerido pelo Ministério da Educação </w:t>
      </w:r>
      <w:r w:rsidR="00DC2111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MEC (2010) para a construção do referido documento. 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Neste caso, a apresentação da parte introdutória do documento aborda os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dados de identificação do estudante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, considerados informações basilares. Tais informações são obtidas na ficha de matrícula feita pela equipe administrativa da escola. Neste primeiro item, é fundamental observar as</w:t>
      </w:r>
      <w:r w:rsidR="00D90050">
        <w:rPr>
          <w:rFonts w:ascii="Times New Roman" w:eastAsia="Times New Roman" w:hAnsi="Times New Roman"/>
          <w:sz w:val="24"/>
          <w:szCs w:val="24"/>
          <w:lang w:val="pt-BR"/>
        </w:rPr>
        <w:t xml:space="preserve"> considerações do laudo médico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para, então, verificar a possibilidade de uma investigação mais detalhada sob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re o que está nele descrito. O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documen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to sobre o estudante deve ser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subsídio para a intervenção pedagógica.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lastRenderedPageBreak/>
        <w:t xml:space="preserve">No item intitulado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Perfil do estudante no contexto escolar,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é necessário atentar às respostas oriundas dos instrumentos de pesquisa construídos com os professores e as equipes pedagógicas, também já dito n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>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Estudo de Caso. Definir de maneira detalhada, mas</w:t>
      </w:r>
      <w:r w:rsidR="00AB691B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objetiva, como o estudante está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se relacionando com seus professores, com os colegas e com outros segmentos da unidade de ensino e/ou na escola em que foi matriculado para apenas o AEE. No quesito comportamento, que trata de como o estudante procede, de que forma age diante da rotina escolar, faz-se necessário utilizar te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rmos que evidenciem movimento,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processo, ou seja, nada estanque, determinado, acabado. Como sugestão para a elaboração, elencamos verbos como: demonstra, revela, percebe, nota-se... Afinal, cada pessoa humana responde a uma situação conforme seu desenvolvimento, sua relação </w:t>
      </w:r>
      <w:r w:rsidR="00A824FC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com a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família e</w:t>
      </w:r>
      <w:r w:rsidR="006D7168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com a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sociedade.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 Outros aspectos presentes no perfil do estudante dizem respeito ao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desenvolvimento: motor, da linguagem e lógico</w:t>
      </w:r>
      <w:r w:rsidR="006D7168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-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matemático.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Três áreas 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>“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nobres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>”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no processo de escolarização e de vida do ser humano. Ao registrar cada tópico, </w:t>
      </w:r>
      <w:r w:rsidR="005D2B48" w:rsidRPr="00DF08CC">
        <w:rPr>
          <w:rFonts w:ascii="Times New Roman" w:eastAsia="Times New Roman" w:hAnsi="Times New Roman"/>
          <w:sz w:val="24"/>
          <w:szCs w:val="24"/>
          <w:lang w:val="pt-BR"/>
        </w:rPr>
        <w:t>faz-se necessário observar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o que é esperado para cada faixa etária e </w:t>
      </w:r>
      <w:r w:rsidR="006D7168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para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o crescimento do estudante em relação às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habilidades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, isto é, à capacidade e à disposição para fazer algo. Quanto ao estudante com deficiência, é importante focarmos nas suas potencialidades, pois é através da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>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habilidades que ele já desenvolveu que se pode verificar e estabelecer o que ainda precisa </w:t>
      </w:r>
      <w:r w:rsidR="006D7168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ser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desenvolv</w:t>
      </w:r>
      <w:r w:rsidR="006D7168" w:rsidRPr="00DF08CC">
        <w:rPr>
          <w:rFonts w:ascii="Times New Roman" w:eastAsia="Times New Roman" w:hAnsi="Times New Roman"/>
          <w:sz w:val="24"/>
          <w:szCs w:val="24"/>
          <w:lang w:val="pt-BR"/>
        </w:rPr>
        <w:t>ido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. Assim, estaremos colaborando </w:t>
      </w:r>
      <w:r w:rsidR="009332BB" w:rsidRPr="00DF08CC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o</w:t>
      </w:r>
      <w:r w:rsidR="009332BB" w:rsidRPr="00DF08CC">
        <w:rPr>
          <w:rFonts w:ascii="Times New Roman" w:eastAsia="Times New Roman" w:hAnsi="Times New Roman"/>
          <w:sz w:val="24"/>
          <w:szCs w:val="24"/>
          <w:lang w:val="pt-BR"/>
        </w:rPr>
        <w:t>m 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avanço das suas competências, que nada </w:t>
      </w:r>
      <w:r w:rsidR="00663FA1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mais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são do que a forma como serão administradas as habilidades individuais. 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Encerrando o perfil do estudante, temos o item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oportunidades de melhoria</w:t>
      </w:r>
      <w:r w:rsidR="00EB393C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que corresponde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ao que será oferecido ao estudante durante os momentos de interlocuções presenciais, seja na SRM, na sala de aula junto ao professor e junto à família. Se pensarmos neste tópico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estamos evidenciando sua inter-relação com a acessibilidade programática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que corresponde ao desafio de realizar as adaptações curriculares necessárias para o ensino e 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a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aprendizagem diante de práticas pedagógicas inclusivas.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Assim, tais propositivas visam proporcionar na escola uma adaptação dos espaços físicos, a adoção de estratégias e a implementação de determinados serviços pedagógicos, tendo em vista a melhoria das condições de acessibilidade arquitetônica para o estudante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de acordo com suas características e necessidades.</w:t>
      </w:r>
    </w:p>
    <w:p w:rsidR="00D71843" w:rsidRPr="00DF08CC" w:rsidRDefault="001E0639" w:rsidP="00D718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É, portanto, nesse momento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que </w:t>
      </w:r>
      <w:r w:rsidR="00AB691B" w:rsidRPr="00DF08CC">
        <w:rPr>
          <w:rFonts w:ascii="Times New Roman" w:eastAsia="Times New Roman" w:hAnsi="Times New Roman"/>
          <w:sz w:val="24"/>
          <w:szCs w:val="24"/>
          <w:lang w:val="pt-BR"/>
        </w:rPr>
        <w:t>sejam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elencad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os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os objetivos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>a serem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propostos para as áreas já definidas anteriormente, isto é, a área cognitiva, a área motora e a área social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.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Nessa construção, 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é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precis</w:t>
      </w:r>
      <w:r w:rsidR="00EB393C" w:rsidRPr="00DF08CC">
        <w:rPr>
          <w:rFonts w:ascii="Times New Roman" w:eastAsia="Times New Roman" w:hAnsi="Times New Roman"/>
          <w:sz w:val="24"/>
          <w:szCs w:val="24"/>
          <w:lang w:val="pt-BR"/>
        </w:rPr>
        <w:t>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5C12F1" w:rsidRPr="00DF08CC">
        <w:rPr>
          <w:rFonts w:ascii="Times New Roman" w:eastAsia="Times New Roman" w:hAnsi="Times New Roman"/>
          <w:sz w:val="24"/>
          <w:szCs w:val="24"/>
          <w:lang w:val="pt-BR"/>
        </w:rPr>
        <w:t>estabelecer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o tempo que o estudante terá para atingir o que</w:t>
      </w:r>
      <w:r w:rsidR="005C12F1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fo</w:t>
      </w:r>
      <w:r w:rsidR="002E53F0" w:rsidRPr="00DF08CC">
        <w:rPr>
          <w:rFonts w:ascii="Times New Roman" w:eastAsia="Times New Roman" w:hAnsi="Times New Roman"/>
          <w:sz w:val="24"/>
          <w:szCs w:val="24"/>
          <w:lang w:val="pt-BR"/>
        </w:rPr>
        <w:t>i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definido para o </w:t>
      </w:r>
      <w:r w:rsidR="005C12F1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alcance das suas necessidades. Nessa perspectiva, serão </w:t>
      </w:r>
      <w:r w:rsidR="00A26C2B" w:rsidRPr="00DF08CC">
        <w:rPr>
          <w:rFonts w:ascii="Times New Roman" w:eastAsia="Times New Roman" w:hAnsi="Times New Roman"/>
          <w:sz w:val="24"/>
          <w:szCs w:val="24"/>
          <w:lang w:val="pt-BR"/>
        </w:rPr>
        <w:t>estabelecidos objetivos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de longo, médio e curto prazo</w:t>
      </w:r>
      <w:r w:rsidR="005C12F1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5C12F1" w:rsidRPr="00DF08CC">
        <w:rPr>
          <w:rFonts w:ascii="Times New Roman" w:eastAsia="Times New Roman" w:hAnsi="Times New Roman"/>
          <w:sz w:val="24"/>
          <w:szCs w:val="24"/>
          <w:lang w:val="pt-BR"/>
        </w:rPr>
        <w:t>a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ção </w:t>
      </w:r>
      <w:r w:rsidR="005C12F1" w:rsidRPr="00DF08CC">
        <w:rPr>
          <w:rFonts w:ascii="Times New Roman" w:eastAsia="Times New Roman" w:hAnsi="Times New Roman"/>
          <w:sz w:val="24"/>
          <w:szCs w:val="24"/>
          <w:lang w:val="pt-BR"/>
        </w:rPr>
        <w:t>a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ser firmada pelo professor do AEE diante das reais necessidades do estudante.</w:t>
      </w:r>
      <w:r w:rsidR="00A8358C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D71843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Isso significa que é preciso definir o período do atendimento (tempo </w:t>
      </w:r>
      <w:r w:rsidR="00D71843" w:rsidRPr="00DF08CC">
        <w:rPr>
          <w:rFonts w:ascii="Times New Roman" w:eastAsia="Times New Roman" w:hAnsi="Times New Roman"/>
          <w:sz w:val="24"/>
          <w:szCs w:val="24"/>
          <w:lang w:val="pt-BR"/>
        </w:rPr>
        <w:lastRenderedPageBreak/>
        <w:t>destinado); a frequência/regularidade desse atendimento (quantos dias na semana o estudante será atendido); a periodicidade das atividades complementares (externas às intervenções escolares); o tempo de atendimento na SRM (em hora/aula); a composição do atendimento (dia da semana).</w:t>
      </w:r>
    </w:p>
    <w:p w:rsidR="00AD3E58" w:rsidRPr="00DF08CC" w:rsidRDefault="001E0639" w:rsidP="00DF08CC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Quanto às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tecnologias assistivas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, estamos focando na acessibilidade comunicacional. Dizer se o estudante terá material para ser adaptado, elencar quais tipos e se precisará da colaboração de outros materiais que não estão na SRM. </w:t>
      </w:r>
    </w:p>
    <w:p w:rsidR="00AD3E58" w:rsidRPr="00DF08CC" w:rsidRDefault="008B34FD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próximo item posto no plano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são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os </w:t>
      </w:r>
      <w:r w:rsidR="00E57C27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recursos.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aracteriza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m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-se pelo tipo de acessibilidade instrumental. Corresponde 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à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seleção do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s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jogos 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e d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 todos os materiais previstos na utilização junto ao estudante.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No que tange aos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serviços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, 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é preciso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verificar se na unidade de ensino existem pessoas que podem colaborar na confecção dos recursos e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/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ou </w:t>
      </w:r>
      <w:r w:rsidR="002E53F0" w:rsidRPr="00DF08CC">
        <w:rPr>
          <w:rFonts w:ascii="Times New Roman" w:eastAsia="Times New Roman" w:hAnsi="Times New Roman"/>
          <w:sz w:val="24"/>
          <w:szCs w:val="24"/>
          <w:lang w:val="pt-BR"/>
        </w:rPr>
        <w:t>se será necessário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contar com a ajuda externa de outros profissionais de áreas mais específicas. Pode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-se</w:t>
      </w:r>
      <w:r w:rsidR="006D7168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também, averiguar se o estudante foi contemplado com o Benefício de Pr</w:t>
      </w:r>
      <w:r w:rsidR="00A97DD8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estação Continuada </w:t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="00A97DD8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B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P</w:t>
      </w:r>
      <w:r w:rsidR="00A97DD8" w:rsidRPr="00DF08CC">
        <w:rPr>
          <w:rFonts w:ascii="Times New Roman" w:eastAsia="Times New Roman" w:hAnsi="Times New Roman"/>
          <w:sz w:val="24"/>
          <w:szCs w:val="24"/>
          <w:lang w:val="pt-BR"/>
        </w:rPr>
        <w:t>C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e definir junto à família novos tipos de serviços e ou recursos tecnológicos para seu uso no cotidiano.  </w:t>
      </w:r>
    </w:p>
    <w:p w:rsidR="00AD3E58" w:rsidRPr="00DF08CC" w:rsidRDefault="001E0639" w:rsidP="00DF08CC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As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parcerias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, que serão definidas durante o desenvolvimento do PDIE, devem pressupor </w:t>
      </w:r>
      <w:r w:rsidR="006D7168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tanto </w:t>
      </w:r>
      <w:r w:rsidR="002E53F0" w:rsidRPr="00DF08CC">
        <w:rPr>
          <w:rFonts w:ascii="Times New Roman" w:eastAsia="Times New Roman" w:hAnsi="Times New Roman"/>
          <w:sz w:val="24"/>
          <w:szCs w:val="24"/>
          <w:lang w:val="pt-BR"/>
        </w:rPr>
        <w:t>a participação d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os profissionais existentes na 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>U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nidade de 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Ensino </w:t>
      </w:r>
      <w:r w:rsidR="006D7168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como </w:t>
      </w:r>
      <w:r w:rsidR="002E53F0" w:rsidRPr="00DF08CC">
        <w:rPr>
          <w:rFonts w:ascii="Times New Roman" w:eastAsia="Times New Roman" w:hAnsi="Times New Roman"/>
          <w:sz w:val="24"/>
          <w:szCs w:val="24"/>
          <w:lang w:val="pt-BR"/>
        </w:rPr>
        <w:t>a d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aqueles que estão indiretamente ligados à escola. Também estão inclusos nessa categoria profissionais que já atendem o estudante na área da saúde e</w:t>
      </w:r>
      <w:r w:rsidR="00E57C2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terapeuta.</w:t>
      </w:r>
    </w:p>
    <w:p w:rsidR="00AD3E58" w:rsidRPr="00DF08CC" w:rsidRDefault="001E0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Afirma Pacheco, (2007, p.100):</w:t>
      </w:r>
    </w:p>
    <w:p w:rsidR="00AD3E58" w:rsidRPr="00DF08CC" w:rsidRDefault="001E0639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  <w:r w:rsidRPr="00DF08CC">
        <w:rPr>
          <w:rFonts w:ascii="Times New Roman" w:eastAsia="Times New Roman" w:hAnsi="Times New Roman"/>
          <w:sz w:val="22"/>
          <w:szCs w:val="22"/>
          <w:lang w:val="pt-BR"/>
        </w:rPr>
        <w:t>A preparação de PEIs exige a colaboração de muitas pessoas. Em primeiro lugar, a colaboração dos professores e dos pais. A participação ativa do próprio aluno também é recomendada. Além disso, vários especialistas de dent</w:t>
      </w:r>
      <w:r w:rsidR="00A47549" w:rsidRPr="00DF08CC">
        <w:rPr>
          <w:rFonts w:ascii="Times New Roman" w:eastAsia="Times New Roman" w:hAnsi="Times New Roman"/>
          <w:sz w:val="22"/>
          <w:szCs w:val="22"/>
          <w:lang w:val="pt-BR"/>
        </w:rPr>
        <w:t>r</w:t>
      </w:r>
      <w:r w:rsidRPr="00DF08CC">
        <w:rPr>
          <w:rFonts w:ascii="Times New Roman" w:eastAsia="Times New Roman" w:hAnsi="Times New Roman"/>
          <w:sz w:val="22"/>
          <w:szCs w:val="22"/>
          <w:lang w:val="pt-BR"/>
        </w:rPr>
        <w:t>o e de fora da escola particip</w:t>
      </w:r>
      <w:r w:rsidR="006D7168" w:rsidRPr="00DF08CC">
        <w:rPr>
          <w:rFonts w:ascii="Times New Roman" w:eastAsia="Times New Roman" w:hAnsi="Times New Roman"/>
          <w:sz w:val="22"/>
          <w:szCs w:val="22"/>
          <w:lang w:val="pt-BR"/>
        </w:rPr>
        <w:t>a</w:t>
      </w:r>
      <w:r w:rsidRPr="00DF08CC">
        <w:rPr>
          <w:rFonts w:ascii="Times New Roman" w:eastAsia="Times New Roman" w:hAnsi="Times New Roman"/>
          <w:sz w:val="22"/>
          <w:szCs w:val="22"/>
          <w:lang w:val="pt-BR"/>
        </w:rPr>
        <w:t xml:space="preserve">m. Essas pessoas reúnem seu conhecimento e experiência para criar um plano que permita aos alunos participar e utilizar o currículo de aula. </w:t>
      </w:r>
    </w:p>
    <w:p w:rsidR="00AD3E58" w:rsidRPr="00DF08CC" w:rsidRDefault="00AD3E58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  <w:lang w:val="pt-BR"/>
        </w:rPr>
      </w:pPr>
    </w:p>
    <w:p w:rsidR="00AD3E58" w:rsidRPr="00DF08CC" w:rsidRDefault="001E0639" w:rsidP="00DF08CC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Em relação à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metodologia de atuação,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estamos tratando da concepção de ensino, de educação, de aprendizagem e do delineamento pedagógico que envolverá o período em que o estudante estará sendo atendi</w:t>
      </w:r>
      <w:r w:rsidR="005D2B48" w:rsidRPr="00DF08CC">
        <w:rPr>
          <w:rFonts w:ascii="Times New Roman" w:eastAsia="Times New Roman" w:hAnsi="Times New Roman"/>
          <w:sz w:val="24"/>
          <w:szCs w:val="24"/>
          <w:lang w:val="pt-BR"/>
        </w:rPr>
        <w:t>d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 no AEE e qual linha de intervenção didática estaremos realizando no contexto da SRM. Portanto, a acessibilidade atitudinal presente no âmbito da metodologia irá possibilitar a desconstrução das barreiras </w:t>
      </w:r>
      <w:r w:rsidR="00412CB0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dos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que acreditam que todo estudante aprende da mesma forma.   </w:t>
      </w:r>
    </w:p>
    <w:p w:rsidR="00DF08CC" w:rsidRDefault="00495B27" w:rsidP="00DF08CC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E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stabelecer os critérios de 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avaliação dos resultados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implica dizer que o estudante será avaliado de acordo com os objetivos estipulados no seu PDIE, sem haver comparação </w:t>
      </w:r>
      <w:r w:rsidR="00412CB0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com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os demais estudantes que serão atendidos no serviço especializado. A clareza do que se quer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lastRenderedPageBreak/>
        <w:t>avaliar precisa estar coerente com a proposta do plano com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o um todo, ou seja,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não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deve consistir em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uma ação isolada.</w:t>
      </w:r>
      <w:bookmarkStart w:id="1" w:name="_gjdgxs" w:colFirst="0" w:colLast="0"/>
      <w:bookmarkEnd w:id="1"/>
    </w:p>
    <w:p w:rsidR="00AD3E58" w:rsidRPr="00DF08CC" w:rsidRDefault="00E46B8B" w:rsidP="00DF08CC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Por consequência, os </w:t>
      </w:r>
      <w:r w:rsidR="001E0639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resultados esperados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para cada estudante deve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m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visar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à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complementação ou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à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suplementação da aprendizagem nas áreas de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monstradas pelas dificuldades e/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ou potencialidades. É importante salientar que as escolas que recebem as matr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í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culas de estudantes de outras instituições de ensino na SRM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deverão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encaminhar para a escola de origem a cópia do PDIE, a fim de manter a escola ciente do que foi planejado e o que passará a ser desenvolvido no AEE junto ao estudante com deficiência. </w:t>
      </w:r>
    </w:p>
    <w:p w:rsidR="00AD3E58" w:rsidRPr="00DF08CC" w:rsidRDefault="001E0639" w:rsidP="00E46B8B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Para Albuquerque (2017), a sala de recursos multifuncionais </w:t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SRM </w:t>
      </w:r>
      <w:r w:rsidR="00C97BD6"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é um lugar para além do seu significado físico, pois se constitui como um espaço pedagógico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que procura minimizar as dificuldades de aprendizagens surgidas durante o percurso escolar de muitos alunos com deficiência. Os serviços oferecidos podem descobrir novas formas de intervenção no âmbito escolar.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proofErr w:type="spellStart"/>
      <w:r w:rsidRPr="00DF08CC">
        <w:rPr>
          <w:rFonts w:ascii="Times New Roman" w:eastAsia="Times New Roman" w:hAnsi="Times New Roman"/>
          <w:sz w:val="24"/>
          <w:szCs w:val="24"/>
          <w:lang w:val="pt-BR"/>
        </w:rPr>
        <w:t>Arnal</w:t>
      </w:r>
      <w:proofErr w:type="spellEnd"/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e Mori (2007) consideram que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pressuposto básico do trabalho no AEE é a mediação.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Afirmam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que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a forma como o professor trabalha, as estratégias utilizadas para ensinar são fundamentais para a aprendizagem do estudante. As autoras afirmam que uma prática mediadora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consiste em</w:t>
      </w:r>
      <w:r w:rsidR="00430573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um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trabalho intencionalmente organizado para que o estudante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tenha acesso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872AD7" w:rsidRPr="00DF08CC">
        <w:rPr>
          <w:rFonts w:ascii="Times New Roman" w:eastAsia="Times New Roman" w:hAnsi="Times New Roman"/>
          <w:sz w:val="24"/>
          <w:szCs w:val="24"/>
          <w:lang w:val="pt-BR"/>
        </w:rPr>
        <w:t>a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os conteúdos planejados.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Nessa perspectiva, Melo e Siqueira (201</w:t>
      </w:r>
      <w:r w:rsidR="005D2B48" w:rsidRPr="00DF08CC">
        <w:rPr>
          <w:rFonts w:ascii="Times New Roman" w:eastAsia="Times New Roman" w:hAnsi="Times New Roman"/>
          <w:sz w:val="24"/>
          <w:szCs w:val="24"/>
          <w:lang w:val="pt-BR"/>
        </w:rPr>
        <w:t>8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) afirmam a necessidade de repensar e diversificar as práticas pedagógicas, levando em consideração os diversos ritmos de aprendizagens e as habilidades inerentes a todos os educandos com e sem deficiência (surdez), tendo como premissa a promoção de um ambiente acolhedor, acessível e educativo para todos.</w:t>
      </w:r>
    </w:p>
    <w:p w:rsidR="00E46B8B" w:rsidRPr="00DF08CC" w:rsidRDefault="00431B8E" w:rsidP="00DF08CC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Nesse sentido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, reafirma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mos: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mesmo com todo o investimento realizado no processo de formação continuada para os professores do AEE, ainda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há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um desafio: maturar o desenvolvimento e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 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acompanhamento do PDIE, tornando-o mais próximo do tipo de serviço especializado ofertado nas escolas públicas municipais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além d</w:t>
      </w:r>
      <w:r w:rsidR="001E0639" w:rsidRPr="00DF08CC">
        <w:rPr>
          <w:rFonts w:ascii="Times New Roman" w:eastAsia="Times New Roman" w:hAnsi="Times New Roman"/>
          <w:sz w:val="24"/>
          <w:szCs w:val="24"/>
          <w:lang w:val="pt-BR"/>
        </w:rPr>
        <w:t>e constatar o alcance das metas condizentes com as necessidades dos estudantes em processo de inclusão escolar.</w:t>
      </w:r>
    </w:p>
    <w:p w:rsidR="00E46B8B" w:rsidRPr="00DF08CC" w:rsidRDefault="00E46B8B" w:rsidP="00E46B8B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AD3E58" w:rsidRPr="00DF08CC" w:rsidRDefault="001E0639" w:rsidP="00E46B8B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Considerações Finais</w:t>
      </w:r>
    </w:p>
    <w:p w:rsidR="00AD3E58" w:rsidRPr="00DF08CC" w:rsidRDefault="001E0639" w:rsidP="00DF08CC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Mittler (2003) afirma que quanto mais a escola é inclusiva menor será a necessidade de planos de educação individual, uma vez que as escolas asseguram um currículo adequad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às necessidades de todas as crianças. Assevera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ainda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que os planos de educação individual não precisam estar 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restritos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às crianças com dificuldades de aprendizagem.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Portanto, a utopia des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 trabalho é reconhecer que o PDIE não é uma invenção da política pública como panaceia das necessidades emergentes da pessoa com deficiência, nem 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lastRenderedPageBreak/>
        <w:t xml:space="preserve">um instrumento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segregado</w:t>
      </w:r>
      <w:r w:rsidR="00DF08CC">
        <w:rPr>
          <w:rFonts w:ascii="Times New Roman" w:eastAsia="Times New Roman" w:hAnsi="Times New Roman"/>
          <w:sz w:val="24"/>
          <w:szCs w:val="24"/>
          <w:lang w:val="pt-BR"/>
        </w:rPr>
        <w:t>r; o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PDIE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é fruto das constatações históricas diante 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do embate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exclusão </w:t>
      </w:r>
      <w:r w:rsidRPr="00DF08CC">
        <w:rPr>
          <w:rFonts w:ascii="Times New Roman" w:eastAsia="Times New Roman" w:hAnsi="Times New Roman"/>
          <w:b/>
          <w:i/>
          <w:sz w:val="24"/>
          <w:szCs w:val="24"/>
          <w:lang w:val="pt-BR"/>
        </w:rPr>
        <w:t>versus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inclusão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no centro do qual esteve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es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s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e segmento da sociedade ao longo da evolução humana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, principalmente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no processo de escolarização. </w:t>
      </w:r>
    </w:p>
    <w:p w:rsidR="00AD3E58" w:rsidRPr="00DF08CC" w:rsidRDefault="001E0639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bookmarkStart w:id="2" w:name="_30j0zll" w:colFirst="0" w:colLast="0"/>
      <w:bookmarkEnd w:id="2"/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Nesse sentido, 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o PDIE não é 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estático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.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em uma lógica</w:t>
      </w:r>
      <w:r w:rsidR="00F071BA" w:rsidRPr="00DF08CC">
        <w:rPr>
          <w:rFonts w:ascii="Times New Roman" w:eastAsia="Times New Roman" w:hAnsi="Times New Roman"/>
          <w:sz w:val="24"/>
          <w:szCs w:val="24"/>
          <w:lang w:val="pt-BR"/>
        </w:rPr>
        <w:t>, que é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estabelecer uma conexão entre o ensino regular e o AEE; atua</w:t>
      </w:r>
      <w:r w:rsidR="00DF08CC">
        <w:rPr>
          <w:rFonts w:ascii="Times New Roman" w:eastAsia="Times New Roman" w:hAnsi="Times New Roman"/>
          <w:sz w:val="24"/>
          <w:szCs w:val="24"/>
          <w:lang w:val="pt-BR"/>
        </w:rPr>
        <w:t>r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mais diretamente junto ao estudante e </w:t>
      </w:r>
      <w:r w:rsidR="00C90DEA" w:rsidRPr="00DF08CC">
        <w:rPr>
          <w:rFonts w:ascii="Times New Roman" w:eastAsia="Times New Roman" w:hAnsi="Times New Roman"/>
          <w:sz w:val="24"/>
          <w:szCs w:val="24"/>
          <w:lang w:val="pt-BR"/>
        </w:rPr>
        <w:t>à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família de forma sistematizada; não deve ser restrito apenas </w:t>
      </w:r>
      <w:r w:rsidR="00C90DEA" w:rsidRPr="00DF08CC">
        <w:rPr>
          <w:rFonts w:ascii="Times New Roman" w:eastAsia="Times New Roman" w:hAnsi="Times New Roman"/>
          <w:sz w:val="24"/>
          <w:szCs w:val="24"/>
          <w:lang w:val="pt-BR"/>
        </w:rPr>
        <w:t>a</w:t>
      </w:r>
      <w:r w:rsidR="005D2B48" w:rsidRPr="00DF08CC">
        <w:rPr>
          <w:rFonts w:ascii="Times New Roman" w:eastAsia="Times New Roman" w:hAnsi="Times New Roman"/>
          <w:sz w:val="24"/>
          <w:szCs w:val="24"/>
          <w:lang w:val="pt-BR"/>
        </w:rPr>
        <w:t>o âmbito do AEE-SR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M, mas deve abranger todo o ciclo da vida</w:t>
      </w:r>
      <w:r w:rsidR="00C90DEA" w:rsidRPr="00DF08CC">
        <w:rPr>
          <w:rFonts w:ascii="Times New Roman" w:eastAsia="Times New Roman" w:hAnsi="Times New Roman"/>
          <w:sz w:val="24"/>
          <w:szCs w:val="24"/>
          <w:lang w:val="pt-BR"/>
        </w:rPr>
        <w:t>.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="00C90DEA" w:rsidRPr="00DF08CC">
        <w:rPr>
          <w:rFonts w:ascii="Times New Roman" w:eastAsia="Times New Roman" w:hAnsi="Times New Roman"/>
          <w:sz w:val="24"/>
          <w:szCs w:val="24"/>
          <w:lang w:val="pt-BR"/>
        </w:rPr>
        <w:t>N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ecessita do compromisso de todos os profissionais envolvidos, objetivando o processo de escolarização e as práticas pedagógicas inclusivas. </w:t>
      </w:r>
    </w:p>
    <w:p w:rsidR="00C90DEA" w:rsidRPr="00DF08CC" w:rsidRDefault="00E46B8B" w:rsidP="00DF08CC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Des</w:t>
      </w:r>
      <w:r w:rsidR="00DF08CC">
        <w:rPr>
          <w:rFonts w:ascii="Times New Roman" w:eastAsia="Times New Roman" w:hAnsi="Times New Roman"/>
          <w:sz w:val="24"/>
          <w:szCs w:val="24"/>
          <w:lang w:val="pt-BR"/>
        </w:rPr>
        <w:t>tarte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, a </w:t>
      </w:r>
      <w:r w:rsidR="00C90DEA" w:rsidRPr="00DF08CC">
        <w:rPr>
          <w:rFonts w:ascii="Times New Roman" w:eastAsia="Times New Roman" w:hAnsi="Times New Roman"/>
          <w:sz w:val="24"/>
          <w:szCs w:val="24"/>
          <w:lang w:val="pt-BR"/>
        </w:rPr>
        <w:t>discussão</w:t>
      </w:r>
      <w:r w:rsidR="00C90DEA"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 </w:t>
      </w:r>
      <w:r w:rsidR="00C90DEA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sobre o PDIE no âmbito do Atendimento Educacional Especializado não se encerra neste terceiro módulo da formação continuada voltada para os professores que iniciaram </w:t>
      </w:r>
      <w:r w:rsidR="008F25DF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há pouco tempo </w:t>
      </w:r>
      <w:r w:rsidR="00C90DEA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seu trabalho na SRM. O caminho ainda terá percalços e também, novas construções objetivas. </w:t>
      </w:r>
    </w:p>
    <w:p w:rsidR="008F25DF" w:rsidRPr="00DF08CC" w:rsidRDefault="008F25DF" w:rsidP="00C90DEA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AD3E58" w:rsidRPr="00DF08CC" w:rsidRDefault="001E0639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Referências </w:t>
      </w:r>
    </w:p>
    <w:p w:rsidR="00AD3E58" w:rsidRPr="00DF08CC" w:rsidRDefault="001E0639">
      <w:pPr>
        <w:tabs>
          <w:tab w:val="left" w:pos="1276"/>
        </w:tabs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ALBUQUERQUE, E. R.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Prática Pedagógica Inclusiva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: um estudo de caso em escola com atendimento educacional especializado (AEE) em Jaboatão dos Guararapes-PE. Tese (Doutorado em Educação) - Universidade Federal de Pernambuco, CE. Programa de Pós-Graduação em Educação, 2014.</w:t>
      </w:r>
    </w:p>
    <w:p w:rsidR="00AD3E58" w:rsidRPr="00DF08CC" w:rsidRDefault="001E0639">
      <w:pPr>
        <w:tabs>
          <w:tab w:val="left" w:pos="1276"/>
          <w:tab w:val="left" w:pos="1418"/>
          <w:tab w:val="left" w:pos="1985"/>
        </w:tabs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Disponível em: &lt;</w:t>
      </w:r>
      <w:hyperlink r:id="rId9">
        <w:r w:rsidRPr="00DF08CC">
          <w:rPr>
            <w:rFonts w:ascii="Times New Roman" w:eastAsia="Times New Roman" w:hAnsi="Times New Roman"/>
            <w:sz w:val="24"/>
            <w:szCs w:val="24"/>
            <w:lang w:val="pt-BR"/>
          </w:rPr>
          <w:t>https://repositorio.ufpe.br/handle/123456789/12988</w:t>
        </w:r>
      </w:hyperlink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&gt;.  Acesso em: 18-junho-2019.</w:t>
      </w:r>
    </w:p>
    <w:p w:rsidR="00AD3E58" w:rsidRPr="00DF08CC" w:rsidRDefault="00AD3E58">
      <w:pPr>
        <w:tabs>
          <w:tab w:val="left" w:pos="1276"/>
          <w:tab w:val="left" w:pos="1418"/>
          <w:tab w:val="left" w:pos="1985"/>
        </w:tabs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AD3E58" w:rsidRPr="00DF08CC" w:rsidRDefault="001E0639">
      <w:pPr>
        <w:tabs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  <w:highlight w:val="white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>ARNAL, L. S. P; MORI, N. N. R. Educação escolar inclusiva: a prática pedagógica nas salas de recursos. IV</w:t>
      </w:r>
      <w:r w:rsidRPr="00DF08CC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 xml:space="preserve"> Congresso Brasileiro Multidisciplinar de Educação Especial, 2007, Londrina</w:t>
      </w:r>
      <w:r w:rsidRPr="00DF08CC">
        <w:rPr>
          <w:rFonts w:ascii="Times New Roman" w:eastAsia="Times New Roman" w:hAnsi="Times New Roman"/>
          <w:i/>
          <w:sz w:val="24"/>
          <w:szCs w:val="24"/>
          <w:highlight w:val="white"/>
          <w:lang w:val="pt-BR"/>
        </w:rPr>
        <w:t>. </w:t>
      </w:r>
      <w:r w:rsidRPr="00DF08CC">
        <w:rPr>
          <w:rFonts w:ascii="Times New Roman" w:eastAsia="Times New Roman" w:hAnsi="Times New Roman"/>
          <w:b/>
          <w:i/>
          <w:sz w:val="24"/>
          <w:szCs w:val="24"/>
          <w:highlight w:val="white"/>
          <w:lang w:val="pt-BR"/>
        </w:rPr>
        <w:t>Anais</w:t>
      </w:r>
      <w:r w:rsidRPr="00DF08CC">
        <w:rPr>
          <w:rFonts w:ascii="Times New Roman" w:eastAsia="Times New Roman" w:hAnsi="Times New Roman"/>
          <w:i/>
          <w:sz w:val="24"/>
          <w:szCs w:val="24"/>
          <w:highlight w:val="white"/>
          <w:lang w:val="pt-BR"/>
        </w:rPr>
        <w:t>...</w:t>
      </w:r>
      <w:r w:rsidRPr="00DF08CC">
        <w:rPr>
          <w:rFonts w:ascii="Times New Roman" w:eastAsia="Times New Roman" w:hAnsi="Times New Roman"/>
          <w:sz w:val="24"/>
          <w:szCs w:val="24"/>
          <w:highlight w:val="white"/>
          <w:lang w:val="pt-BR"/>
        </w:rPr>
        <w:t> Londrina: UEL, 2007.</w:t>
      </w:r>
    </w:p>
    <w:p w:rsidR="00AD3E58" w:rsidRPr="00DF08CC" w:rsidRDefault="00AD3E58">
      <w:pPr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AD3E58" w:rsidRPr="00DF08CC" w:rsidRDefault="001E0639">
      <w:pPr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MELO, E. B.; BARBOSA, A. S.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 xml:space="preserve">Reflexões acerca da interação surdo/ouvinte e a construção da competência linguística no âmbito escolar. </w:t>
      </w:r>
      <w:r w:rsidR="005D2B48" w:rsidRPr="00DF08CC">
        <w:rPr>
          <w:rFonts w:ascii="Times New Roman" w:eastAsia="Times New Roman" w:hAnsi="Times New Roman"/>
          <w:sz w:val="24"/>
          <w:szCs w:val="24"/>
          <w:lang w:val="pt-BR"/>
        </w:rPr>
        <w:t>2018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.</w:t>
      </w:r>
      <w:r w:rsidR="001E2D4F"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Disponível em:</w:t>
      </w:r>
      <w:r w:rsidR="001E2D4F" w:rsidRPr="00DF08CC">
        <w:rPr>
          <w:lang w:val="pt-BR"/>
        </w:rPr>
        <w:t xml:space="preserve"> &lt;</w:t>
      </w:r>
      <w:hyperlink r:id="rId10" w:history="1">
        <w:r w:rsidR="001E2D4F" w:rsidRPr="009874A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pt-BR"/>
          </w:rPr>
          <w:t>http://www.editorarealize.com.br/revistas/cintedi/resumo.php?idtrabalho=698</w:t>
        </w:r>
      </w:hyperlink>
      <w:r w:rsidR="001E2D4F" w:rsidRPr="00DF08CC">
        <w:rPr>
          <w:rFonts w:ascii="Times New Roman" w:eastAsia="Times New Roman" w:hAnsi="Times New Roman"/>
          <w:sz w:val="24"/>
          <w:szCs w:val="24"/>
          <w:lang w:val="pt-BR"/>
        </w:rPr>
        <w:t>&gt;. Acesso em: 19-junho-2019.</w:t>
      </w:r>
    </w:p>
    <w:p w:rsidR="005D2B48" w:rsidRPr="00DF08CC" w:rsidRDefault="005D2B48">
      <w:pPr>
        <w:jc w:val="both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:rsidR="00AD3E58" w:rsidRPr="00DF08CC" w:rsidRDefault="001E0639">
      <w:pPr>
        <w:tabs>
          <w:tab w:val="left" w:pos="1134"/>
        </w:tabs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MITTLER, P.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Educação inclusiva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: contextos sociais. Porto Alegre: Artmed, 2003.</w:t>
      </w:r>
    </w:p>
    <w:p w:rsidR="00AD3E58" w:rsidRPr="00DF08CC" w:rsidRDefault="00AD3E58">
      <w:pPr>
        <w:tabs>
          <w:tab w:val="left" w:pos="1134"/>
        </w:tabs>
        <w:rPr>
          <w:rFonts w:ascii="Times New Roman" w:eastAsia="Times New Roman" w:hAnsi="Times New Roman"/>
          <w:sz w:val="24"/>
          <w:szCs w:val="24"/>
          <w:lang w:val="pt-BR"/>
        </w:rPr>
      </w:pPr>
    </w:p>
    <w:p w:rsidR="00AD3E58" w:rsidRPr="00DF08CC" w:rsidRDefault="001E0639">
      <w:pPr>
        <w:tabs>
          <w:tab w:val="left" w:pos="1134"/>
        </w:tabs>
        <w:rPr>
          <w:rFonts w:ascii="Times New Roman" w:eastAsia="Times New Roman" w:hAnsi="Times New Roman"/>
          <w:sz w:val="24"/>
          <w:szCs w:val="24"/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PACHECO, J. 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Caminhos para a inclusão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>: um guia para o aprimoramento da equipe escolar. Porto Alegre: Artmed, 2007.</w:t>
      </w:r>
    </w:p>
    <w:p w:rsidR="00AD3E58" w:rsidRPr="00DF08CC" w:rsidRDefault="00AD3E58">
      <w:pPr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</w:p>
    <w:p w:rsidR="00AD3E58" w:rsidRPr="00DF08CC" w:rsidRDefault="001E0639">
      <w:pPr>
        <w:jc w:val="both"/>
        <w:rPr>
          <w:lang w:val="pt-BR"/>
        </w:rPr>
      </w:pP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ROPOLI, E. A. </w:t>
      </w:r>
      <w:r w:rsidRPr="00DF08CC">
        <w:rPr>
          <w:rFonts w:ascii="Times New Roman" w:eastAsia="Times New Roman" w:hAnsi="Times New Roman"/>
          <w:b/>
          <w:sz w:val="24"/>
          <w:szCs w:val="24"/>
          <w:lang w:val="pt-BR"/>
        </w:rPr>
        <w:t>A Educação Especial na Perspectiva da Inclusão Escolar</w:t>
      </w:r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: a escola comum inclusiva / Edilene Aparecida </w:t>
      </w:r>
      <w:proofErr w:type="spellStart"/>
      <w:r w:rsidRPr="00DF08CC">
        <w:rPr>
          <w:rFonts w:ascii="Times New Roman" w:eastAsia="Times New Roman" w:hAnsi="Times New Roman"/>
          <w:sz w:val="24"/>
          <w:szCs w:val="24"/>
          <w:lang w:val="pt-BR"/>
        </w:rPr>
        <w:t>Ropoli</w:t>
      </w:r>
      <w:proofErr w:type="spellEnd"/>
      <w:r w:rsidRPr="00DF08CC">
        <w:rPr>
          <w:rFonts w:ascii="Times New Roman" w:eastAsia="Times New Roman" w:hAnsi="Times New Roman"/>
          <w:sz w:val="24"/>
          <w:szCs w:val="24"/>
          <w:lang w:val="pt-BR"/>
        </w:rPr>
        <w:t xml:space="preserve"> [et.al.].  Brasília: Ministério da Educação, Secretaria de Educação Especial; [Fortaleza]: Universidade Federal do Ceará, 2010.</w:t>
      </w:r>
    </w:p>
    <w:sectPr w:rsidR="00AD3E58" w:rsidRPr="00DF08CC" w:rsidSect="00E46B8B">
      <w:headerReference w:type="default" r:id="rId11"/>
      <w:pgSz w:w="11906" w:h="16838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BC" w:rsidRDefault="00C573BC">
      <w:r>
        <w:separator/>
      </w:r>
    </w:p>
  </w:endnote>
  <w:endnote w:type="continuationSeparator" w:id="0">
    <w:p w:rsidR="00C573BC" w:rsidRDefault="00C5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BC" w:rsidRDefault="00C573BC">
      <w:r>
        <w:separator/>
      </w:r>
    </w:p>
  </w:footnote>
  <w:footnote w:type="continuationSeparator" w:id="0">
    <w:p w:rsidR="00C573BC" w:rsidRDefault="00C573BC">
      <w:r>
        <w:continuationSeparator/>
      </w:r>
    </w:p>
  </w:footnote>
  <w:footnote w:id="1">
    <w:p w:rsidR="00AD3E58" w:rsidRPr="00DA0B51" w:rsidRDefault="001E06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lang w:val="pt-BR"/>
        </w:rPr>
      </w:pPr>
      <w:r>
        <w:rPr>
          <w:vertAlign w:val="superscript"/>
        </w:rPr>
        <w:footnoteRef/>
      </w:r>
      <w:r w:rsidRPr="00DA0B51">
        <w:rPr>
          <w:rFonts w:eastAsia="Calibri" w:cs="Calibri"/>
          <w:color w:val="000000"/>
          <w:lang w:val="pt-BR"/>
        </w:rPr>
        <w:t xml:space="preserve"> </w:t>
      </w:r>
      <w:r w:rsidRPr="00DA0B51">
        <w:rPr>
          <w:rFonts w:ascii="Times New Roman" w:eastAsia="Times New Roman" w:hAnsi="Times New Roman"/>
          <w:color w:val="000000"/>
          <w:lang w:val="pt-BR"/>
        </w:rPr>
        <w:t xml:space="preserve">Texto exclusivo para o terceiro módulo da formação continuada dos professores novatos, do Atendimento Educacional Especializado/Sala de Recursos Multifuncionais, da Rede Pública Municipal de Ensino, a realizar-se em 26 de junho de 2019, no Jaboatão </w:t>
      </w:r>
      <w:proofErr w:type="spellStart"/>
      <w:r w:rsidRPr="00DA0B51">
        <w:rPr>
          <w:rFonts w:ascii="Times New Roman" w:eastAsia="Times New Roman" w:hAnsi="Times New Roman"/>
          <w:color w:val="000000"/>
          <w:lang w:val="pt-BR"/>
        </w:rPr>
        <w:t>Prev</w:t>
      </w:r>
      <w:proofErr w:type="spellEnd"/>
      <w:r w:rsidRPr="00DA0B51">
        <w:rPr>
          <w:rFonts w:ascii="Times New Roman" w:eastAsia="Times New Roman" w:hAnsi="Times New Roman"/>
          <w:color w:val="000000"/>
          <w:lang w:val="pt-BR"/>
        </w:rPr>
        <w:t xml:space="preserve"> - Piedade.</w:t>
      </w:r>
    </w:p>
  </w:footnote>
  <w:footnote w:id="2">
    <w:p w:rsidR="00AD3E58" w:rsidRDefault="001E06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</w:rPr>
      </w:pPr>
      <w:r>
        <w:rPr>
          <w:vertAlign w:val="superscript"/>
        </w:rPr>
        <w:footnoteRef/>
      </w:r>
      <w:r w:rsidRPr="00DA0B51">
        <w:rPr>
          <w:rFonts w:ascii="Times New Roman" w:eastAsia="Times New Roman" w:hAnsi="Times New Roman"/>
          <w:color w:val="000000"/>
          <w:lang w:val="pt-BR"/>
        </w:rPr>
        <w:t xml:space="preserve"> ALBUQUERQUE, A.C.P. F. </w:t>
      </w:r>
      <w:r w:rsidRPr="00DA0B51">
        <w:rPr>
          <w:rFonts w:ascii="Times New Roman" w:eastAsia="Times New Roman" w:hAnsi="Times New Roman"/>
          <w:b/>
          <w:color w:val="000000"/>
          <w:lang w:val="pt-BR"/>
        </w:rPr>
        <w:t xml:space="preserve">Dimensões da acessibilidade: </w:t>
      </w:r>
      <w:r w:rsidRPr="00DA0B51">
        <w:rPr>
          <w:rFonts w:ascii="Times New Roman" w:eastAsia="Times New Roman" w:hAnsi="Times New Roman"/>
          <w:color w:val="000000"/>
          <w:lang w:val="pt-BR"/>
        </w:rPr>
        <w:t xml:space="preserve">estratégias para a inclusão escolar de pessoas com o transtorno do espectro autista. </w:t>
      </w:r>
      <w:r>
        <w:rPr>
          <w:rFonts w:ascii="Times New Roman" w:eastAsia="Times New Roman" w:hAnsi="Times New Roman"/>
          <w:color w:val="000000"/>
        </w:rPr>
        <w:t>Texto digitalizado. 2019.</w:t>
      </w:r>
    </w:p>
    <w:p w:rsidR="00AD3E58" w:rsidRDefault="00AD3E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</w:rPr>
      </w:pPr>
    </w:p>
    <w:p w:rsidR="00AD3E58" w:rsidRDefault="00AD3E58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416641"/>
      <w:docPartObj>
        <w:docPartGallery w:val="Page Numbers (Top of Page)"/>
        <w:docPartUnique/>
      </w:docPartObj>
    </w:sdtPr>
    <w:sdtContent>
      <w:p w:rsidR="00DC2111" w:rsidRDefault="00DC211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4AE" w:rsidRPr="009874AE">
          <w:rPr>
            <w:noProof/>
            <w:lang w:val="pt-BR"/>
          </w:rPr>
          <w:t>6</w:t>
        </w:r>
        <w:r>
          <w:fldChar w:fldCharType="end"/>
        </w:r>
      </w:p>
    </w:sdtContent>
  </w:sdt>
  <w:p w:rsidR="00AD3E58" w:rsidRDefault="00AD3E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71C0C"/>
    <w:multiLevelType w:val="multilevel"/>
    <w:tmpl w:val="459CCA8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58"/>
    <w:rsid w:val="000344F3"/>
    <w:rsid w:val="000D0791"/>
    <w:rsid w:val="001751A1"/>
    <w:rsid w:val="001A0AF9"/>
    <w:rsid w:val="001B63C3"/>
    <w:rsid w:val="001D1538"/>
    <w:rsid w:val="001E0639"/>
    <w:rsid w:val="001E2D4F"/>
    <w:rsid w:val="00270C0F"/>
    <w:rsid w:val="002E53F0"/>
    <w:rsid w:val="003F0474"/>
    <w:rsid w:val="00412CB0"/>
    <w:rsid w:val="00430573"/>
    <w:rsid w:val="00431B8E"/>
    <w:rsid w:val="004336AE"/>
    <w:rsid w:val="00491653"/>
    <w:rsid w:val="00495B27"/>
    <w:rsid w:val="005C12F1"/>
    <w:rsid w:val="005D2B48"/>
    <w:rsid w:val="006200F7"/>
    <w:rsid w:val="00663FA1"/>
    <w:rsid w:val="00693721"/>
    <w:rsid w:val="006B7CDB"/>
    <w:rsid w:val="006C5A3E"/>
    <w:rsid w:val="006D592E"/>
    <w:rsid w:val="006D70F3"/>
    <w:rsid w:val="006D7168"/>
    <w:rsid w:val="00757947"/>
    <w:rsid w:val="00797634"/>
    <w:rsid w:val="007A1660"/>
    <w:rsid w:val="007A75B1"/>
    <w:rsid w:val="00853FCB"/>
    <w:rsid w:val="00872AD7"/>
    <w:rsid w:val="008903C5"/>
    <w:rsid w:val="008B34FD"/>
    <w:rsid w:val="008F25DF"/>
    <w:rsid w:val="009058EF"/>
    <w:rsid w:val="009332BB"/>
    <w:rsid w:val="009874AE"/>
    <w:rsid w:val="00990F1C"/>
    <w:rsid w:val="00A04923"/>
    <w:rsid w:val="00A26C2B"/>
    <w:rsid w:val="00A47549"/>
    <w:rsid w:val="00A824FC"/>
    <w:rsid w:val="00A8358C"/>
    <w:rsid w:val="00A97DD8"/>
    <w:rsid w:val="00AB691B"/>
    <w:rsid w:val="00AD3E58"/>
    <w:rsid w:val="00BA0FDA"/>
    <w:rsid w:val="00C573BC"/>
    <w:rsid w:val="00C90DEA"/>
    <w:rsid w:val="00C97BD6"/>
    <w:rsid w:val="00CE6EC2"/>
    <w:rsid w:val="00D445A1"/>
    <w:rsid w:val="00D71843"/>
    <w:rsid w:val="00D90050"/>
    <w:rsid w:val="00DA0B51"/>
    <w:rsid w:val="00DC2111"/>
    <w:rsid w:val="00DF08CC"/>
    <w:rsid w:val="00E46B8B"/>
    <w:rsid w:val="00E57C27"/>
    <w:rsid w:val="00EB393C"/>
    <w:rsid w:val="00EF667B"/>
    <w:rsid w:val="00F071BA"/>
    <w:rsid w:val="00F518FB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5E8E55-85F1-4B74-AFDD-917D992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58D"/>
    <w:rPr>
      <w:rFonts w:eastAsia="SimSun" w:cs="Times New Roman"/>
      <w:lang w:val="en-US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47C7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t-BR" w:eastAsia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rsid w:val="00D5358D"/>
    <w:pPr>
      <w:spacing w:before="100" w:beforeAutospacing="1" w:after="100" w:afterAutospacing="1"/>
    </w:pPr>
    <w:rPr>
      <w:rFonts w:ascii="Times New Roman" w:eastAsia="SimSun" w:hAnsi="Times New Roman" w:cs="Times New Roman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EB1729"/>
    <w:pPr>
      <w:ind w:left="720"/>
      <w:contextualSpacing/>
    </w:pPr>
  </w:style>
  <w:style w:type="character" w:customStyle="1" w:styleId="ilfuvd">
    <w:name w:val="ilfuvd"/>
    <w:basedOn w:val="Fontepargpadro"/>
    <w:rsid w:val="00F37887"/>
  </w:style>
  <w:style w:type="character" w:customStyle="1" w:styleId="Ttulo3Char">
    <w:name w:val="Título 3 Char"/>
    <w:basedOn w:val="Fontepargpadro"/>
    <w:link w:val="Ttulo3"/>
    <w:uiPriority w:val="9"/>
    <w:rsid w:val="00F47C7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F47C7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17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172C"/>
    <w:rPr>
      <w:rFonts w:ascii="Calibri" w:eastAsia="SimSun" w:hAnsi="Calibri" w:cs="Times New Roman"/>
      <w:sz w:val="20"/>
      <w:szCs w:val="20"/>
      <w:lang w:val="en-US"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7F172C"/>
    <w:rPr>
      <w:vertAlign w:val="superscript"/>
    </w:rPr>
  </w:style>
  <w:style w:type="paragraph" w:customStyle="1" w:styleId="Default">
    <w:name w:val="Default"/>
    <w:rsid w:val="00C105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641F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1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1EF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rsid w:val="00D455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55AA"/>
    <w:rPr>
      <w:rFonts w:ascii="Calibri" w:eastAsia="SimSun" w:hAnsi="Calibri" w:cs="Times New Roman"/>
      <w:sz w:val="20"/>
      <w:szCs w:val="20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rsid w:val="00D455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5AA"/>
    <w:rPr>
      <w:rFonts w:ascii="Calibri" w:eastAsia="SimSun" w:hAnsi="Calibri" w:cs="Times New Roman"/>
      <w:sz w:val="20"/>
      <w:szCs w:val="20"/>
      <w:lang w:val="en-US" w:eastAsia="zh-CN"/>
    </w:rPr>
  </w:style>
  <w:style w:type="character" w:customStyle="1" w:styleId="st">
    <w:name w:val="st"/>
    <w:basedOn w:val="Fontepargpadro"/>
    <w:rsid w:val="00285629"/>
  </w:style>
  <w:style w:type="paragraph" w:customStyle="1" w:styleId="western">
    <w:name w:val="western"/>
    <w:basedOn w:val="Normal"/>
    <w:rsid w:val="000058D8"/>
    <w:pPr>
      <w:spacing w:before="100" w:beforeAutospacing="1" w:line="360" w:lineRule="auto"/>
      <w:jc w:val="both"/>
    </w:pPr>
    <w:rPr>
      <w:rFonts w:ascii="Arial" w:eastAsiaTheme="majorEastAsia" w:hAnsi="Arial" w:cs="Arial"/>
      <w:sz w:val="24"/>
      <w:szCs w:val="22"/>
      <w:lang w:val="pt-BR" w:eastAsia="en-US"/>
    </w:rPr>
  </w:style>
  <w:style w:type="paragraph" w:customStyle="1" w:styleId="sdfootnote-western">
    <w:name w:val="sdfootnote-western"/>
    <w:basedOn w:val="Normal"/>
    <w:rsid w:val="00EF6BF0"/>
    <w:pPr>
      <w:spacing w:before="100" w:beforeAutospacing="1" w:line="360" w:lineRule="auto"/>
      <w:ind w:left="284" w:hanging="284"/>
      <w:jc w:val="both"/>
    </w:pPr>
    <w:rPr>
      <w:rFonts w:ascii="Arial" w:eastAsiaTheme="majorEastAsia" w:hAnsi="Arial" w:cstheme="majorBidi"/>
      <w:lang w:val="pt-BR" w:eastAsia="en-US"/>
    </w:rPr>
  </w:style>
  <w:style w:type="character" w:customStyle="1" w:styleId="apple-converted-space">
    <w:name w:val="apple-converted-space"/>
    <w:basedOn w:val="Fontepargpadro"/>
    <w:rsid w:val="00EF6BF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A16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166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1660"/>
    <w:rPr>
      <w:rFonts w:eastAsia="SimSun" w:cs="Times New Roman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6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660"/>
    <w:rPr>
      <w:rFonts w:eastAsia="SimSun" w:cs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itorarealize.com.br/revistas/cintedi/resumo.php?idtrabalho=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io.ufpe.br/handle/123456789/12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AACC-19FE-4459-9D01-C6A3D242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2350</Words>
  <Characters>12692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Ednea</dc:creator>
  <cp:lastModifiedBy>Ednea</cp:lastModifiedBy>
  <cp:revision>11</cp:revision>
  <cp:lastPrinted>2019-06-21T08:53:00Z</cp:lastPrinted>
  <dcterms:created xsi:type="dcterms:W3CDTF">2019-06-21T07:34:00Z</dcterms:created>
  <dcterms:modified xsi:type="dcterms:W3CDTF">2019-06-21T10:25:00Z</dcterms:modified>
</cp:coreProperties>
</file>